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00" w:type="dxa"/>
        <w:tblCellSpacing w:w="0" w:type="dxa"/>
        <w:tblBorders>
          <w:top w:val="outset" w:sz="6" w:space="0" w:color="006600"/>
          <w:left w:val="outset" w:sz="6" w:space="0" w:color="006600"/>
          <w:bottom w:val="outset" w:sz="6" w:space="0" w:color="006600"/>
          <w:right w:val="outset" w:sz="6" w:space="0" w:color="006600"/>
        </w:tblBorders>
        <w:shd w:val="clear" w:color="auto" w:fill="FFFFFF"/>
        <w:tblCellMar>
          <w:left w:w="0" w:type="dxa"/>
          <w:right w:w="0" w:type="dxa"/>
        </w:tblCellMar>
        <w:tblLook w:val="04A0" w:firstRow="1" w:lastRow="0" w:firstColumn="1" w:lastColumn="0" w:noHBand="0" w:noVBand="1"/>
      </w:tblPr>
      <w:tblGrid>
        <w:gridCol w:w="9344"/>
      </w:tblGrid>
      <w:tr w:rsidR="003B4E3A" w:rsidRPr="003B4E3A" w14:paraId="61981023" w14:textId="77777777" w:rsidTr="003B4E3A">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3A8D80EE" w14:textId="6AB35189" w:rsidR="003B4E3A" w:rsidRPr="003B4E3A" w:rsidRDefault="003B4E3A" w:rsidP="003B4E3A">
            <w:pPr>
              <w:spacing w:after="0" w:line="240" w:lineRule="auto"/>
              <w:jc w:val="center"/>
              <w:rPr>
                <w:rFonts w:ascii="Times New Roman" w:eastAsia="Times New Roman" w:hAnsi="Times New Roman" w:cs="Times New Roman"/>
                <w:color w:val="000000"/>
                <w:sz w:val="27"/>
                <w:szCs w:val="27"/>
              </w:rPr>
            </w:pPr>
            <w:r w:rsidRPr="003B4E3A">
              <w:rPr>
                <w:rFonts w:ascii="Times New Roman" w:eastAsia="Times New Roman" w:hAnsi="Times New Roman" w:cs="Times New Roman"/>
                <w:noProof/>
                <w:color w:val="000000"/>
                <w:sz w:val="27"/>
                <w:szCs w:val="27"/>
              </w:rPr>
              <w:drawing>
                <wp:inline distT="0" distB="0" distL="0" distR="0" wp14:anchorId="0E46BD4B" wp14:editId="7BFB1721">
                  <wp:extent cx="6191250" cy="787400"/>
                  <wp:effectExtent l="0" t="0" r="0" b="0"/>
                  <wp:docPr id="6" name="Picture 6"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787400"/>
                          </a:xfrm>
                          <a:prstGeom prst="rect">
                            <a:avLst/>
                          </a:prstGeom>
                          <a:noFill/>
                          <a:ln>
                            <a:noFill/>
                          </a:ln>
                        </pic:spPr>
                      </pic:pic>
                    </a:graphicData>
                  </a:graphic>
                </wp:inline>
              </w:drawing>
            </w:r>
          </w:p>
        </w:tc>
      </w:tr>
      <w:tr w:rsidR="003B4E3A" w:rsidRPr="003B4E3A" w14:paraId="43DFD5D9" w14:textId="77777777" w:rsidTr="003B4E3A">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21AFFB37" w14:textId="77777777" w:rsidR="003B4E3A" w:rsidRPr="003B4E3A" w:rsidRDefault="003B4E3A" w:rsidP="003B4E3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B4E3A">
              <w:rPr>
                <w:rFonts w:ascii="Verdana" w:eastAsia="Times New Roman" w:hAnsi="Verdana" w:cs="Times New Roman"/>
                <w:color w:val="000000"/>
                <w:sz w:val="20"/>
                <w:szCs w:val="20"/>
              </w:rPr>
              <w:br/>
            </w:r>
            <w:r w:rsidRPr="003B4E3A">
              <w:rPr>
                <w:rFonts w:ascii="Verdana" w:eastAsia="Times New Roman" w:hAnsi="Verdana" w:cs="Times New Roman"/>
                <w:b/>
                <w:bCs/>
                <w:color w:val="000000"/>
                <w:sz w:val="20"/>
                <w:szCs w:val="20"/>
              </w:rPr>
              <w:t>Environmental Enlightenment #175</w:t>
            </w:r>
            <w:r w:rsidRPr="003B4E3A">
              <w:rPr>
                <w:rFonts w:ascii="Verdana" w:eastAsia="Times New Roman" w:hAnsi="Verdana" w:cs="Times New Roman"/>
                <w:color w:val="000000"/>
                <w:sz w:val="20"/>
                <w:szCs w:val="20"/>
              </w:rPr>
              <w:br/>
              <w:t xml:space="preserve">By Ami </w:t>
            </w:r>
            <w:proofErr w:type="spellStart"/>
            <w:r w:rsidRPr="003B4E3A">
              <w:rPr>
                <w:rFonts w:ascii="Verdana" w:eastAsia="Times New Roman" w:hAnsi="Verdana" w:cs="Times New Roman"/>
                <w:color w:val="000000"/>
                <w:sz w:val="20"/>
                <w:szCs w:val="20"/>
              </w:rPr>
              <w:t>Adini</w:t>
            </w:r>
            <w:proofErr w:type="spellEnd"/>
            <w:r w:rsidRPr="003B4E3A">
              <w:rPr>
                <w:rFonts w:ascii="Verdana" w:eastAsia="Times New Roman" w:hAnsi="Verdana" w:cs="Times New Roman"/>
                <w:color w:val="000000"/>
                <w:sz w:val="20"/>
                <w:szCs w:val="20"/>
              </w:rPr>
              <w:t xml:space="preserve"> - Reissued September 10, 2014</w:t>
            </w:r>
          </w:p>
          <w:tbl>
            <w:tblPr>
              <w:tblW w:w="4750" w:type="pct"/>
              <w:jc w:val="center"/>
              <w:tblCellSpacing w:w="0" w:type="dxa"/>
              <w:tblBorders>
                <w:top w:val="outset" w:sz="6" w:space="0" w:color="006633"/>
                <w:left w:val="outset" w:sz="6" w:space="0" w:color="006633"/>
                <w:bottom w:val="outset" w:sz="6" w:space="0" w:color="006633"/>
                <w:right w:val="outset" w:sz="6" w:space="0" w:color="006633"/>
              </w:tblBorders>
              <w:tblCellMar>
                <w:top w:w="60" w:type="dxa"/>
                <w:left w:w="60" w:type="dxa"/>
                <w:bottom w:w="60" w:type="dxa"/>
                <w:right w:w="60" w:type="dxa"/>
              </w:tblCellMar>
              <w:tblLook w:val="04A0" w:firstRow="1" w:lastRow="0" w:firstColumn="1" w:lastColumn="0" w:noHBand="0" w:noVBand="1"/>
            </w:tblPr>
            <w:tblGrid>
              <w:gridCol w:w="8833"/>
            </w:tblGrid>
            <w:tr w:rsidR="003B4E3A" w:rsidRPr="003B4E3A" w14:paraId="3211F924"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7745210D" w14:textId="77777777" w:rsidR="003B4E3A" w:rsidRPr="003B4E3A" w:rsidRDefault="003B4E3A" w:rsidP="003B4E3A">
                  <w:pPr>
                    <w:spacing w:before="100" w:beforeAutospacing="1" w:after="100" w:afterAutospacing="1" w:line="240" w:lineRule="auto"/>
                    <w:rPr>
                      <w:rFonts w:ascii="Times New Roman" w:eastAsia="Times New Roman" w:hAnsi="Times New Roman" w:cs="Times New Roman"/>
                      <w:sz w:val="24"/>
                      <w:szCs w:val="24"/>
                    </w:rPr>
                  </w:pPr>
                  <w:r w:rsidRPr="003B4E3A">
                    <w:rPr>
                      <w:rFonts w:ascii="Verdana" w:eastAsia="Times New Roman" w:hAnsi="Verdana" w:cs="Times New Roman"/>
                      <w:sz w:val="20"/>
                      <w:szCs w:val="20"/>
                    </w:rPr>
                    <w:t xml:space="preserve">This is a SHORT, LIGHT and SIMPLE newsletter. Its purpose is to rekindle in the initiated terminology they have once </w:t>
                  </w:r>
                  <w:proofErr w:type="gramStart"/>
                  <w:r w:rsidRPr="003B4E3A">
                    <w:rPr>
                      <w:rFonts w:ascii="Verdana" w:eastAsia="Times New Roman" w:hAnsi="Verdana" w:cs="Times New Roman"/>
                      <w:sz w:val="20"/>
                      <w:szCs w:val="20"/>
                    </w:rPr>
                    <w:t>learned, and</w:t>
                  </w:r>
                  <w:proofErr w:type="gramEnd"/>
                  <w:r w:rsidRPr="003B4E3A">
                    <w:rPr>
                      <w:rFonts w:ascii="Verdana" w:eastAsia="Times New Roman" w:hAnsi="Verdana" w:cs="Times New Roman"/>
                      <w:sz w:val="20"/>
                      <w:szCs w:val="20"/>
                    </w:rPr>
                    <w:t xml:space="preserve"> enlighten the uninitiated on terms they may have heard but never known the meaning of.</w:t>
                  </w:r>
                </w:p>
              </w:tc>
            </w:tr>
            <w:tr w:rsidR="003B4E3A" w:rsidRPr="003B4E3A" w14:paraId="2F891599"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shd w:val="clear" w:color="auto" w:fill="FFFFFF"/>
                  <w:vAlign w:val="center"/>
                  <w:hideMark/>
                </w:tcPr>
                <w:p w14:paraId="768FB902" w14:textId="77777777" w:rsidR="003B4E3A" w:rsidRPr="003B4E3A" w:rsidRDefault="003B4E3A" w:rsidP="003B4E3A">
                  <w:pPr>
                    <w:spacing w:before="100" w:beforeAutospacing="1" w:after="100" w:afterAutospacing="1" w:line="240" w:lineRule="auto"/>
                    <w:jc w:val="center"/>
                    <w:rPr>
                      <w:rFonts w:ascii="Times New Roman" w:eastAsia="Times New Roman" w:hAnsi="Times New Roman" w:cs="Times New Roman"/>
                      <w:sz w:val="24"/>
                      <w:szCs w:val="24"/>
                    </w:rPr>
                  </w:pPr>
                  <w:r w:rsidRPr="003B4E3A">
                    <w:rPr>
                      <w:rFonts w:ascii="Arial" w:eastAsia="Times New Roman" w:hAnsi="Arial" w:cs="Arial"/>
                      <w:b/>
                      <w:bCs/>
                      <w:color w:val="006600"/>
                      <w:sz w:val="27"/>
                      <w:szCs w:val="27"/>
                    </w:rPr>
                    <w:t>Environmental Base Line</w:t>
                  </w:r>
                </w:p>
                <w:p w14:paraId="02B98741" w14:textId="77777777" w:rsidR="003B4E3A" w:rsidRPr="003B4E3A" w:rsidRDefault="003B4E3A" w:rsidP="003B4E3A">
                  <w:pPr>
                    <w:spacing w:before="100" w:beforeAutospacing="1" w:after="100" w:afterAutospacing="1" w:line="240" w:lineRule="auto"/>
                    <w:rPr>
                      <w:rFonts w:ascii="Times New Roman" w:eastAsia="Times New Roman" w:hAnsi="Times New Roman" w:cs="Times New Roman"/>
                      <w:sz w:val="24"/>
                      <w:szCs w:val="24"/>
                    </w:rPr>
                  </w:pPr>
                  <w:r w:rsidRPr="003B4E3A">
                    <w:rPr>
                      <w:rFonts w:ascii="Verdana" w:eastAsia="Times New Roman" w:hAnsi="Verdana" w:cs="Times New Roman"/>
                      <w:sz w:val="20"/>
                      <w:szCs w:val="20"/>
                    </w:rPr>
                    <w:t>In dealing with physical matters, absolutes do not exist. One establishes value only by comparison.</w:t>
                  </w:r>
                </w:p>
                <w:p w14:paraId="2286701A" w14:textId="77777777" w:rsidR="003B4E3A" w:rsidRPr="003B4E3A" w:rsidRDefault="003B4E3A" w:rsidP="003B4E3A">
                  <w:pPr>
                    <w:spacing w:before="100" w:beforeAutospacing="1" w:after="100" w:afterAutospacing="1" w:line="240" w:lineRule="auto"/>
                    <w:rPr>
                      <w:rFonts w:ascii="Times New Roman" w:eastAsia="Times New Roman" w:hAnsi="Times New Roman" w:cs="Times New Roman"/>
                      <w:sz w:val="24"/>
                      <w:szCs w:val="24"/>
                    </w:rPr>
                  </w:pPr>
                  <w:r w:rsidRPr="003B4E3A">
                    <w:rPr>
                      <w:rFonts w:ascii="Verdana" w:eastAsia="Times New Roman" w:hAnsi="Verdana" w:cs="Times New Roman"/>
                      <w:sz w:val="20"/>
                      <w:szCs w:val="20"/>
                    </w:rPr>
                    <w:t>Suppose I said, “Three hundred.” Your immediate response could probably be, “Three hundred what? Fish? Avocado? Light years?” Suppose I said, “Three hundred dollars.” Now we have value that can be compared. We can buy so many almonds, rent a car for so many days, finance a date with a loved one, or do many other nice things. And when we look at the opportunities that three hundred dollars afford us, we shall undoubtedly arrive fast at the conclusion that five hundred is more.</w:t>
                  </w:r>
                </w:p>
                <w:p w14:paraId="1A8764B9" w14:textId="7ED31F08" w:rsidR="003B4E3A" w:rsidRPr="003B4E3A" w:rsidRDefault="003B4E3A" w:rsidP="003B4E3A">
                  <w:pPr>
                    <w:spacing w:before="100" w:beforeAutospacing="1" w:after="100" w:afterAutospacing="1" w:line="240" w:lineRule="auto"/>
                    <w:jc w:val="center"/>
                    <w:rPr>
                      <w:rFonts w:ascii="Times New Roman" w:eastAsia="Times New Roman" w:hAnsi="Times New Roman" w:cs="Times New Roman"/>
                      <w:sz w:val="24"/>
                      <w:szCs w:val="24"/>
                    </w:rPr>
                  </w:pPr>
                  <w:r w:rsidRPr="003B4E3A">
                    <w:rPr>
                      <w:rFonts w:ascii="Verdana" w:eastAsia="Times New Roman" w:hAnsi="Verdana" w:cs="Times New Roman"/>
                      <w:noProof/>
                      <w:sz w:val="20"/>
                      <w:szCs w:val="20"/>
                    </w:rPr>
                    <w:drawing>
                      <wp:inline distT="0" distB="0" distL="0" distR="0" wp14:anchorId="4AD88F4E" wp14:editId="01F3BE2B">
                        <wp:extent cx="5245100" cy="3530600"/>
                        <wp:effectExtent l="0" t="0" r="0" b="0"/>
                        <wp:docPr id="5" name="Picture 5" descr="http://amiadini.com/NewsletterArchive/140910-NL175/envEnl-175_files/envEnl-175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40910-NL175/envEnl-175_files/envEnl-175_clip_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5100" cy="3530600"/>
                                </a:xfrm>
                                <a:prstGeom prst="rect">
                                  <a:avLst/>
                                </a:prstGeom>
                                <a:noFill/>
                                <a:ln>
                                  <a:noFill/>
                                </a:ln>
                              </pic:spPr>
                            </pic:pic>
                          </a:graphicData>
                        </a:graphic>
                      </wp:inline>
                    </w:drawing>
                  </w:r>
                </w:p>
                <w:p w14:paraId="572FDE6E" w14:textId="77777777" w:rsidR="003B4E3A" w:rsidRPr="003B4E3A" w:rsidRDefault="003B4E3A" w:rsidP="003B4E3A">
                  <w:pPr>
                    <w:spacing w:before="100" w:beforeAutospacing="1" w:after="100" w:afterAutospacing="1" w:line="240" w:lineRule="auto"/>
                    <w:rPr>
                      <w:rFonts w:ascii="Times New Roman" w:eastAsia="Times New Roman" w:hAnsi="Times New Roman" w:cs="Times New Roman"/>
                      <w:sz w:val="24"/>
                      <w:szCs w:val="24"/>
                    </w:rPr>
                  </w:pPr>
                  <w:r w:rsidRPr="003B4E3A">
                    <w:rPr>
                      <w:rFonts w:ascii="Verdana" w:eastAsia="Times New Roman" w:hAnsi="Verdana" w:cs="Times New Roman"/>
                      <w:sz w:val="20"/>
                      <w:szCs w:val="20"/>
                    </w:rPr>
                    <w:t>A “bench mark” is term used in the field of land surveying.</w:t>
                  </w:r>
                </w:p>
                <w:p w14:paraId="6274F7E7" w14:textId="7CE8763C" w:rsidR="003B4E3A" w:rsidRPr="003B4E3A" w:rsidRDefault="003B4E3A" w:rsidP="003B4E3A">
                  <w:pPr>
                    <w:spacing w:before="100" w:beforeAutospacing="1" w:after="100" w:afterAutospacing="1" w:line="240" w:lineRule="auto"/>
                    <w:jc w:val="center"/>
                    <w:rPr>
                      <w:rFonts w:ascii="Times New Roman" w:eastAsia="Times New Roman" w:hAnsi="Times New Roman" w:cs="Times New Roman"/>
                      <w:sz w:val="24"/>
                      <w:szCs w:val="24"/>
                    </w:rPr>
                  </w:pPr>
                  <w:r w:rsidRPr="003B4E3A">
                    <w:rPr>
                      <w:rFonts w:ascii="Verdana" w:eastAsia="Times New Roman" w:hAnsi="Verdana" w:cs="Times New Roman"/>
                      <w:noProof/>
                      <w:sz w:val="20"/>
                      <w:szCs w:val="20"/>
                    </w:rPr>
                    <w:drawing>
                      <wp:inline distT="0" distB="0" distL="0" distR="0" wp14:anchorId="70FE91DA" wp14:editId="5E54F92F">
                        <wp:extent cx="3816350" cy="3810000"/>
                        <wp:effectExtent l="0" t="0" r="0" b="0"/>
                        <wp:docPr id="4" name="Picture 4" descr="http://amiadini.com/NewsletterArchive/140910-NL175/envEnl-175_files/envEnl-175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40910-NL175/envEnl-175_files/envEnl-175_clip_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6350" cy="3810000"/>
                                </a:xfrm>
                                <a:prstGeom prst="rect">
                                  <a:avLst/>
                                </a:prstGeom>
                                <a:noFill/>
                                <a:ln>
                                  <a:noFill/>
                                </a:ln>
                              </pic:spPr>
                            </pic:pic>
                          </a:graphicData>
                        </a:graphic>
                      </wp:inline>
                    </w:drawing>
                  </w:r>
                </w:p>
                <w:p w14:paraId="3C573FDF" w14:textId="77777777" w:rsidR="003B4E3A" w:rsidRPr="003B4E3A" w:rsidRDefault="003B4E3A" w:rsidP="003B4E3A">
                  <w:pPr>
                    <w:spacing w:before="100" w:beforeAutospacing="1" w:after="100" w:afterAutospacing="1" w:line="240" w:lineRule="auto"/>
                    <w:rPr>
                      <w:rFonts w:ascii="Times New Roman" w:eastAsia="Times New Roman" w:hAnsi="Times New Roman" w:cs="Times New Roman"/>
                      <w:sz w:val="24"/>
                      <w:szCs w:val="24"/>
                    </w:rPr>
                  </w:pPr>
                  <w:r w:rsidRPr="003B4E3A">
                    <w:rPr>
                      <w:rFonts w:ascii="Verdana" w:eastAsia="Times New Roman" w:hAnsi="Verdana" w:cs="Times New Roman"/>
                      <w:sz w:val="20"/>
                      <w:szCs w:val="20"/>
                    </w:rPr>
                    <w:t>In establishing elevations of land features, the surveyor indicates feet above mean sea level. As it is impractical to run back and forth to the ocean every time we take a measurement, various bench marks are located throughout the land to indicate the altitude at their locations. A typical bench mark is made of a round disk of metal embedded in a small monument of concrete with a punched point on the disk. The surveyor measures the elevations of the land features in that area relative to the known elevation of the point on the bench mark.</w:t>
                  </w:r>
                </w:p>
                <w:p w14:paraId="7A3A1783" w14:textId="77777777" w:rsidR="003B4E3A" w:rsidRPr="003B4E3A" w:rsidRDefault="003B4E3A" w:rsidP="003B4E3A">
                  <w:pPr>
                    <w:spacing w:before="100" w:beforeAutospacing="1" w:after="100" w:afterAutospacing="1" w:line="240" w:lineRule="auto"/>
                    <w:rPr>
                      <w:rFonts w:ascii="Verdana" w:eastAsia="Times New Roman" w:hAnsi="Verdana" w:cs="Times New Roman"/>
                      <w:sz w:val="20"/>
                      <w:szCs w:val="20"/>
                    </w:rPr>
                  </w:pPr>
                  <w:r w:rsidRPr="003B4E3A">
                    <w:rPr>
                      <w:rFonts w:ascii="Verdana" w:eastAsia="Times New Roman" w:hAnsi="Verdana" w:cs="Times New Roman"/>
                      <w:sz w:val="20"/>
                      <w:szCs w:val="20"/>
                    </w:rPr>
                    <w:t>A “base line” is any precisely determined line forming a side of a triangle so that when the adjacent angles are measured, the relative position of a third point (the tip of the triangle opposite the base line) is determined.</w:t>
                  </w:r>
                </w:p>
                <w:p w14:paraId="21A50410" w14:textId="77777777" w:rsidR="003B4E3A" w:rsidRPr="003B4E3A" w:rsidRDefault="003B4E3A" w:rsidP="003B4E3A">
                  <w:pPr>
                    <w:spacing w:before="100" w:beforeAutospacing="1" w:after="100" w:afterAutospacing="1" w:line="240" w:lineRule="auto"/>
                    <w:rPr>
                      <w:rFonts w:ascii="Verdana" w:eastAsia="Times New Roman" w:hAnsi="Verdana" w:cs="Times New Roman"/>
                      <w:sz w:val="20"/>
                      <w:szCs w:val="20"/>
                    </w:rPr>
                  </w:pPr>
                  <w:r w:rsidRPr="003B4E3A">
                    <w:rPr>
                      <w:rFonts w:ascii="Verdana" w:eastAsia="Times New Roman" w:hAnsi="Verdana" w:cs="Times New Roman"/>
                      <w:sz w:val="20"/>
                      <w:szCs w:val="20"/>
                    </w:rPr>
                    <w:t>In the following diagram, lines Q-V, Q-R, and R-V are base lines.</w:t>
                  </w:r>
                </w:p>
                <w:p w14:paraId="52999CDF" w14:textId="15BF760E" w:rsidR="003B4E3A" w:rsidRPr="003B4E3A" w:rsidRDefault="003B4E3A" w:rsidP="003B4E3A">
                  <w:pPr>
                    <w:spacing w:before="100" w:beforeAutospacing="1" w:after="100" w:afterAutospacing="1" w:line="240" w:lineRule="auto"/>
                    <w:jc w:val="center"/>
                    <w:rPr>
                      <w:rFonts w:ascii="Verdana" w:eastAsia="Times New Roman" w:hAnsi="Verdana" w:cs="Times New Roman"/>
                      <w:sz w:val="20"/>
                      <w:szCs w:val="20"/>
                    </w:rPr>
                  </w:pPr>
                  <w:r w:rsidRPr="003B4E3A">
                    <w:rPr>
                      <w:rFonts w:ascii="Verdana" w:eastAsia="Times New Roman" w:hAnsi="Verdana" w:cs="Times New Roman"/>
                      <w:noProof/>
                      <w:sz w:val="20"/>
                      <w:szCs w:val="20"/>
                    </w:rPr>
                    <w:drawing>
                      <wp:inline distT="0" distB="0" distL="0" distR="0" wp14:anchorId="712E5553" wp14:editId="155FC2C3">
                        <wp:extent cx="3105150" cy="3429000"/>
                        <wp:effectExtent l="0" t="0" r="0" b="0"/>
                        <wp:docPr id="3" name="Picture 3" descr="http://amiadini.com/NewsletterArchive/140910-NL175/envEnl-175_files/envEnl-175_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adini.com/NewsletterArchive/140910-NL175/envEnl-175_files/envEnl-175_clip_image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5150" cy="3429000"/>
                                </a:xfrm>
                                <a:prstGeom prst="rect">
                                  <a:avLst/>
                                </a:prstGeom>
                                <a:noFill/>
                                <a:ln>
                                  <a:noFill/>
                                </a:ln>
                              </pic:spPr>
                            </pic:pic>
                          </a:graphicData>
                        </a:graphic>
                      </wp:inline>
                    </w:drawing>
                  </w:r>
                </w:p>
                <w:p w14:paraId="6A2406A7" w14:textId="77777777" w:rsidR="003B4E3A" w:rsidRPr="003B4E3A" w:rsidRDefault="003B4E3A" w:rsidP="003B4E3A">
                  <w:pPr>
                    <w:spacing w:before="100" w:beforeAutospacing="1" w:after="100" w:afterAutospacing="1" w:line="240" w:lineRule="auto"/>
                    <w:rPr>
                      <w:rFonts w:ascii="Verdana" w:eastAsia="Times New Roman" w:hAnsi="Verdana" w:cs="Times New Roman"/>
                      <w:sz w:val="20"/>
                      <w:szCs w:val="20"/>
                    </w:rPr>
                  </w:pPr>
                  <w:r w:rsidRPr="003B4E3A">
                    <w:rPr>
                      <w:rFonts w:ascii="Verdana" w:eastAsia="Times New Roman" w:hAnsi="Verdana" w:cs="Times New Roman"/>
                      <w:sz w:val="20"/>
                      <w:szCs w:val="20"/>
                    </w:rPr>
                    <w:t>The principle of base line is used in land surveying and in navigation to locate various positions on the surface. The concepts of bench mark and base line are same: establishment of an arbitrary value from which other, relative values are determined.</w:t>
                  </w:r>
                </w:p>
                <w:p w14:paraId="0320273D" w14:textId="5C5F0502" w:rsidR="003B4E3A" w:rsidRPr="003B4E3A" w:rsidRDefault="003B4E3A" w:rsidP="003B4E3A">
                  <w:pPr>
                    <w:spacing w:before="100" w:beforeAutospacing="1" w:after="100" w:afterAutospacing="1" w:line="240" w:lineRule="auto"/>
                    <w:jc w:val="center"/>
                    <w:rPr>
                      <w:rFonts w:ascii="Verdana" w:eastAsia="Times New Roman" w:hAnsi="Verdana" w:cs="Times New Roman"/>
                      <w:sz w:val="20"/>
                      <w:szCs w:val="20"/>
                    </w:rPr>
                  </w:pPr>
                  <w:r w:rsidRPr="003B4E3A">
                    <w:rPr>
                      <w:rFonts w:ascii="Verdana" w:eastAsia="Times New Roman" w:hAnsi="Verdana" w:cs="Times New Roman"/>
                      <w:noProof/>
                      <w:sz w:val="20"/>
                      <w:szCs w:val="20"/>
                    </w:rPr>
                    <w:drawing>
                      <wp:inline distT="0" distB="0" distL="0" distR="0" wp14:anchorId="198C382E" wp14:editId="1F174FD9">
                        <wp:extent cx="4051300" cy="2686050"/>
                        <wp:effectExtent l="0" t="0" r="6350" b="0"/>
                        <wp:docPr id="2" name="Picture 2" descr="http://amiadini.com/NewsletterArchive/140910-NL175/envEnl-175_files/envEnl-175_clip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iadini.com/NewsletterArchive/140910-NL175/envEnl-175_files/envEnl-175_clip_image0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1300" cy="2686050"/>
                                </a:xfrm>
                                <a:prstGeom prst="rect">
                                  <a:avLst/>
                                </a:prstGeom>
                                <a:noFill/>
                                <a:ln>
                                  <a:noFill/>
                                </a:ln>
                              </pic:spPr>
                            </pic:pic>
                          </a:graphicData>
                        </a:graphic>
                      </wp:inline>
                    </w:drawing>
                  </w:r>
                </w:p>
                <w:p w14:paraId="038DF83A" w14:textId="77777777" w:rsidR="003B4E3A" w:rsidRPr="003B4E3A" w:rsidRDefault="003B4E3A" w:rsidP="003B4E3A">
                  <w:pPr>
                    <w:spacing w:before="100" w:beforeAutospacing="1" w:after="100" w:afterAutospacing="1" w:line="240" w:lineRule="auto"/>
                    <w:rPr>
                      <w:rFonts w:ascii="Verdana" w:eastAsia="Times New Roman" w:hAnsi="Verdana" w:cs="Times New Roman"/>
                      <w:sz w:val="20"/>
                      <w:szCs w:val="20"/>
                    </w:rPr>
                  </w:pPr>
                  <w:r w:rsidRPr="003B4E3A">
                    <w:rPr>
                      <w:rFonts w:ascii="Verdana" w:eastAsia="Times New Roman" w:hAnsi="Verdana" w:cs="Times New Roman"/>
                      <w:sz w:val="20"/>
                      <w:szCs w:val="20"/>
                    </w:rPr>
                    <w:t>Certain real estate transactions take place in properties where subsurface contamination already exists or where an operation is planned that may cause contamination. For example, an operator of refueling facility enters a lease agreement on the facility, or an industrial operation takes over a property. In such cases, it would be prudent for all sides involved to establish an environmental base line (or bench mark) on the presence of pollutants in the soil and groundwater at the property.</w:t>
                  </w:r>
                </w:p>
                <w:p w14:paraId="78786ADD" w14:textId="77777777" w:rsidR="003B4E3A" w:rsidRPr="003B4E3A" w:rsidRDefault="003B4E3A" w:rsidP="003B4E3A">
                  <w:pPr>
                    <w:spacing w:before="100" w:beforeAutospacing="1" w:after="100" w:afterAutospacing="1" w:line="240" w:lineRule="auto"/>
                    <w:rPr>
                      <w:rFonts w:ascii="Verdana" w:eastAsia="Times New Roman" w:hAnsi="Verdana" w:cs="Times New Roman"/>
                      <w:sz w:val="20"/>
                      <w:szCs w:val="20"/>
                    </w:rPr>
                  </w:pPr>
                  <w:r w:rsidRPr="003B4E3A">
                    <w:rPr>
                      <w:rFonts w:ascii="Verdana" w:eastAsia="Times New Roman" w:hAnsi="Verdana" w:cs="Times New Roman"/>
                      <w:sz w:val="20"/>
                      <w:szCs w:val="20"/>
                    </w:rPr>
                    <w:t>A base line is established by collecting soil and groundwater samples from certain locations and depths and analyzing same for the chemicals of concern.</w:t>
                  </w:r>
                </w:p>
                <w:p w14:paraId="3EA88E0C" w14:textId="6C4E170A" w:rsidR="003B4E3A" w:rsidRPr="003B4E3A" w:rsidRDefault="003B4E3A" w:rsidP="003B4E3A">
                  <w:pPr>
                    <w:spacing w:before="100" w:beforeAutospacing="1" w:after="100" w:afterAutospacing="1" w:line="240" w:lineRule="auto"/>
                    <w:jc w:val="center"/>
                    <w:rPr>
                      <w:rFonts w:ascii="Verdana" w:eastAsia="Times New Roman" w:hAnsi="Verdana" w:cs="Times New Roman"/>
                      <w:sz w:val="20"/>
                      <w:szCs w:val="20"/>
                    </w:rPr>
                  </w:pPr>
                  <w:r w:rsidRPr="003B4E3A">
                    <w:rPr>
                      <w:rFonts w:ascii="Verdana" w:eastAsia="Times New Roman" w:hAnsi="Verdana" w:cs="Times New Roman"/>
                      <w:noProof/>
                      <w:sz w:val="20"/>
                      <w:szCs w:val="20"/>
                    </w:rPr>
                    <w:drawing>
                      <wp:inline distT="0" distB="0" distL="0" distR="0" wp14:anchorId="33540D43" wp14:editId="475D95F1">
                        <wp:extent cx="4051300" cy="2686050"/>
                        <wp:effectExtent l="0" t="0" r="6350" b="0"/>
                        <wp:docPr id="1" name="Picture 1" descr="http://amiadini.com/NewsletterArchive/140910-NL175/envEnl-175_files/envEnl-175_clip_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miadini.com/NewsletterArchive/140910-NL175/envEnl-175_files/envEnl-175_clip_image0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1300" cy="2686050"/>
                                </a:xfrm>
                                <a:prstGeom prst="rect">
                                  <a:avLst/>
                                </a:prstGeom>
                                <a:noFill/>
                                <a:ln>
                                  <a:noFill/>
                                </a:ln>
                              </pic:spPr>
                            </pic:pic>
                          </a:graphicData>
                        </a:graphic>
                      </wp:inline>
                    </w:drawing>
                  </w:r>
                </w:p>
                <w:p w14:paraId="635E30F5" w14:textId="77777777" w:rsidR="003B4E3A" w:rsidRPr="003B4E3A" w:rsidRDefault="003B4E3A" w:rsidP="003B4E3A">
                  <w:pPr>
                    <w:spacing w:before="100" w:beforeAutospacing="1" w:after="100" w:afterAutospacing="1" w:line="240" w:lineRule="auto"/>
                    <w:rPr>
                      <w:rFonts w:ascii="Verdana" w:eastAsia="Times New Roman" w:hAnsi="Verdana" w:cs="Times New Roman"/>
                      <w:sz w:val="20"/>
                      <w:szCs w:val="20"/>
                    </w:rPr>
                  </w:pPr>
                  <w:r w:rsidRPr="003B4E3A">
                    <w:rPr>
                      <w:rFonts w:ascii="Verdana" w:eastAsia="Times New Roman" w:hAnsi="Verdana" w:cs="Times New Roman"/>
                      <w:sz w:val="20"/>
                      <w:szCs w:val="20"/>
                    </w:rPr>
                    <w:t>At the end of the lease, or in any time in the future, repeat samples can be taken, analyzed and compared. It is important to remember that, to draw sensible conclusions, the repeat sampling should be done in the exact same locations as the base line sampling. There could, of course, be reasons for future sampling in other locations and analytical tests for other chemicals, as in the case where different operations enter the property, but such sampling does not belong in the context of base line sampling.</w:t>
                  </w:r>
                </w:p>
              </w:tc>
            </w:tr>
            <w:tr w:rsidR="003B4E3A" w:rsidRPr="003B4E3A" w14:paraId="795E422E"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390E6C51" w14:textId="77777777" w:rsidR="003B4E3A" w:rsidRPr="003B4E3A" w:rsidRDefault="003B4E3A" w:rsidP="003B4E3A">
                  <w:pPr>
                    <w:spacing w:before="100" w:beforeAutospacing="1" w:after="100" w:afterAutospacing="1" w:line="240" w:lineRule="auto"/>
                    <w:rPr>
                      <w:rFonts w:ascii="Times New Roman" w:eastAsia="Times New Roman" w:hAnsi="Times New Roman" w:cs="Times New Roman"/>
                      <w:sz w:val="24"/>
                      <w:szCs w:val="24"/>
                    </w:rPr>
                  </w:pPr>
                  <w:r w:rsidRPr="003B4E3A">
                    <w:rPr>
                      <w:rFonts w:ascii="Verdana" w:eastAsia="Times New Roman" w:hAnsi="Verdana" w:cs="Times New Roman"/>
                      <w:sz w:val="20"/>
                      <w:szCs w:val="20"/>
                    </w:rPr>
                    <w:t>You can find past issues of our "Environmental Enlightenment" at </w:t>
                  </w:r>
                  <w:hyperlink r:id="rId10" w:history="1">
                    <w:r w:rsidRPr="003B4E3A">
                      <w:rPr>
                        <w:rFonts w:ascii="Verdana" w:eastAsia="Times New Roman" w:hAnsi="Verdana" w:cs="Times New Roman"/>
                        <w:color w:val="0000FF"/>
                        <w:sz w:val="20"/>
                        <w:szCs w:val="20"/>
                        <w:u w:val="single"/>
                      </w:rPr>
                      <w:t>amiadini.com</w:t>
                    </w:r>
                  </w:hyperlink>
                  <w:r w:rsidRPr="003B4E3A">
                    <w:rPr>
                      <w:rFonts w:ascii="Verdana" w:eastAsia="Times New Roman" w:hAnsi="Verdana" w:cs="Times New Roman"/>
                      <w:sz w:val="20"/>
                      <w:szCs w:val="20"/>
                    </w:rPr>
                    <w:t> Wealth of information about environmental site assessments in the real estate transactions and issues concerning assessment and cleanup of contamination in the subsurface soil and groundwater.</w:t>
                  </w:r>
                </w:p>
              </w:tc>
            </w:tr>
          </w:tbl>
          <w:p w14:paraId="301DC7FD" w14:textId="77777777" w:rsidR="003B4E3A" w:rsidRPr="003B4E3A" w:rsidRDefault="003B4E3A" w:rsidP="003B4E3A">
            <w:pPr>
              <w:spacing w:after="0" w:line="240" w:lineRule="auto"/>
              <w:jc w:val="center"/>
              <w:rPr>
                <w:rFonts w:ascii="Times New Roman" w:eastAsia="Times New Roman" w:hAnsi="Times New Roman" w:cs="Times New Roman"/>
                <w:vanish/>
                <w:color w:val="000000"/>
                <w:sz w:val="27"/>
                <w:szCs w:val="27"/>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3B4E3A" w:rsidRPr="003B4E3A" w14:paraId="4CD5F204" w14:textId="77777777">
              <w:trPr>
                <w:tblCellSpacing w:w="0" w:type="dxa"/>
                <w:jc w:val="center"/>
              </w:trPr>
              <w:tc>
                <w:tcPr>
                  <w:tcW w:w="0" w:type="auto"/>
                  <w:vAlign w:val="center"/>
                  <w:hideMark/>
                </w:tcPr>
                <w:p w14:paraId="018DF055" w14:textId="77777777" w:rsidR="003B4E3A" w:rsidRPr="003B4E3A" w:rsidRDefault="003B4E3A" w:rsidP="003B4E3A">
                  <w:pPr>
                    <w:spacing w:before="100" w:beforeAutospacing="1" w:after="100" w:afterAutospacing="1" w:line="240" w:lineRule="auto"/>
                    <w:jc w:val="center"/>
                    <w:rPr>
                      <w:rFonts w:ascii="Times New Roman" w:eastAsia="Times New Roman" w:hAnsi="Times New Roman" w:cs="Times New Roman"/>
                      <w:sz w:val="24"/>
                      <w:szCs w:val="24"/>
                    </w:rPr>
                  </w:pPr>
                  <w:r w:rsidRPr="003B4E3A">
                    <w:rPr>
                      <w:rFonts w:ascii="Verdana" w:eastAsia="Times New Roman" w:hAnsi="Verdana" w:cs="Times New Roman"/>
                      <w:sz w:val="20"/>
                      <w:szCs w:val="20"/>
                    </w:rPr>
                    <w:t>Call me if you have any questions. There are </w:t>
                  </w:r>
                  <w:r w:rsidRPr="003B4E3A">
                    <w:rPr>
                      <w:rFonts w:ascii="Verdana" w:eastAsia="Times New Roman" w:hAnsi="Verdana" w:cs="Times New Roman"/>
                      <w:b/>
                      <w:bCs/>
                      <w:sz w:val="20"/>
                      <w:szCs w:val="20"/>
                    </w:rPr>
                    <w:t>no obligations.</w:t>
                  </w:r>
                  <w:r w:rsidRPr="003B4E3A">
                    <w:rPr>
                      <w:rFonts w:ascii="Verdana" w:eastAsia="Times New Roman" w:hAnsi="Verdana" w:cs="Times New Roman"/>
                      <w:sz w:val="20"/>
                      <w:szCs w:val="20"/>
                    </w:rPr>
                    <w:br/>
                  </w:r>
                  <w:r w:rsidRPr="003B4E3A">
                    <w:rPr>
                      <w:rFonts w:ascii="Verdana" w:eastAsia="Times New Roman" w:hAnsi="Verdana" w:cs="Times New Roman"/>
                      <w:sz w:val="20"/>
                      <w:szCs w:val="20"/>
                    </w:rPr>
                    <w:br/>
                    <w:t xml:space="preserve">Ami </w:t>
                  </w:r>
                  <w:proofErr w:type="spellStart"/>
                  <w:r w:rsidRPr="003B4E3A">
                    <w:rPr>
                      <w:rFonts w:ascii="Verdana" w:eastAsia="Times New Roman" w:hAnsi="Verdana" w:cs="Times New Roman"/>
                      <w:sz w:val="20"/>
                      <w:szCs w:val="20"/>
                    </w:rPr>
                    <w:t>Adini</w:t>
                  </w:r>
                  <w:proofErr w:type="spellEnd"/>
                  <w:r w:rsidRPr="003B4E3A">
                    <w:rPr>
                      <w:rFonts w:ascii="Verdana" w:eastAsia="Times New Roman" w:hAnsi="Verdana" w:cs="Times New Roman"/>
                      <w:sz w:val="20"/>
                      <w:szCs w:val="20"/>
                    </w:rPr>
                    <w:t xml:space="preserve"> Environmental Services, Inc.</w:t>
                  </w:r>
                  <w:r w:rsidRPr="003B4E3A">
                    <w:rPr>
                      <w:rFonts w:ascii="Verdana" w:eastAsia="Times New Roman" w:hAnsi="Verdana" w:cs="Times New Roman"/>
                      <w:sz w:val="20"/>
                      <w:szCs w:val="20"/>
                    </w:rPr>
                    <w:br/>
                    <w:t>Environmental Consultants &amp; General Engineering Contractors</w:t>
                  </w:r>
                  <w:r w:rsidRPr="003B4E3A">
                    <w:rPr>
                      <w:rFonts w:ascii="Verdana" w:eastAsia="Times New Roman" w:hAnsi="Verdana" w:cs="Times New Roman"/>
                      <w:sz w:val="20"/>
                      <w:szCs w:val="20"/>
                    </w:rPr>
                    <w:br/>
                    <w:t xml:space="preserve">California </w:t>
                  </w:r>
                  <w:proofErr w:type="spellStart"/>
                  <w:r w:rsidRPr="003B4E3A">
                    <w:rPr>
                      <w:rFonts w:ascii="Verdana" w:eastAsia="Times New Roman" w:hAnsi="Verdana" w:cs="Times New Roman"/>
                      <w:sz w:val="20"/>
                      <w:szCs w:val="20"/>
                    </w:rPr>
                    <w:t>Lic</w:t>
                  </w:r>
                  <w:proofErr w:type="spellEnd"/>
                  <w:r w:rsidRPr="003B4E3A">
                    <w:rPr>
                      <w:rFonts w:ascii="Verdana" w:eastAsia="Times New Roman" w:hAnsi="Verdana" w:cs="Times New Roman"/>
                      <w:sz w:val="20"/>
                      <w:szCs w:val="20"/>
                    </w:rPr>
                    <w:t>. #1009513 A B HAZ ASB</w:t>
                  </w:r>
                  <w:r w:rsidRPr="003B4E3A">
                    <w:rPr>
                      <w:rFonts w:ascii="Verdana" w:eastAsia="Times New Roman" w:hAnsi="Verdana" w:cs="Times New Roman"/>
                      <w:sz w:val="20"/>
                      <w:szCs w:val="20"/>
                    </w:rPr>
                    <w:br/>
                  </w:r>
                  <w:r w:rsidRPr="003B4E3A">
                    <w:rPr>
                      <w:rFonts w:ascii="Verdana" w:eastAsia="Times New Roman" w:hAnsi="Verdana" w:cs="Times New Roman"/>
                      <w:b/>
                      <w:bCs/>
                      <w:sz w:val="20"/>
                      <w:szCs w:val="20"/>
                    </w:rPr>
                    <w:t>818-824-8102</w:t>
                  </w:r>
                  <w:r w:rsidRPr="003B4E3A">
                    <w:rPr>
                      <w:rFonts w:ascii="Verdana" w:eastAsia="Times New Roman" w:hAnsi="Verdana" w:cs="Times New Roman"/>
                      <w:sz w:val="20"/>
                      <w:szCs w:val="20"/>
                    </w:rPr>
                    <w:t>; </w:t>
                  </w:r>
                  <w:hyperlink r:id="rId11" w:history="1">
                    <w:r w:rsidRPr="003B4E3A">
                      <w:rPr>
                        <w:rFonts w:ascii="Verdana" w:eastAsia="Times New Roman" w:hAnsi="Verdana" w:cs="Times New Roman"/>
                        <w:b/>
                        <w:bCs/>
                        <w:color w:val="0000FF"/>
                        <w:sz w:val="20"/>
                        <w:szCs w:val="20"/>
                        <w:u w:val="single"/>
                      </w:rPr>
                      <w:t>mail@amiadini.com</w:t>
                    </w:r>
                  </w:hyperlink>
                  <w:r w:rsidRPr="003B4E3A">
                    <w:rPr>
                      <w:rFonts w:ascii="Verdana" w:eastAsia="Times New Roman" w:hAnsi="Verdana" w:cs="Times New Roman"/>
                      <w:sz w:val="20"/>
                      <w:szCs w:val="20"/>
                    </w:rPr>
                    <w:br/>
                  </w:r>
                  <w:hyperlink r:id="rId12" w:tgtFrame="_blank" w:history="1">
                    <w:r w:rsidRPr="003B4E3A">
                      <w:rPr>
                        <w:rFonts w:ascii="Verdana" w:eastAsia="Times New Roman" w:hAnsi="Verdana" w:cs="Times New Roman"/>
                        <w:color w:val="0000FF"/>
                        <w:sz w:val="20"/>
                        <w:szCs w:val="20"/>
                        <w:u w:val="single"/>
                      </w:rPr>
                      <w:t>www.amiadini.com</w:t>
                    </w:r>
                  </w:hyperlink>
                </w:p>
                <w:p w14:paraId="3D49A1EE" w14:textId="77777777" w:rsidR="003B4E3A" w:rsidRPr="003B4E3A" w:rsidRDefault="003B4E3A" w:rsidP="003B4E3A">
                  <w:pPr>
                    <w:spacing w:after="0" w:line="240" w:lineRule="auto"/>
                    <w:rPr>
                      <w:rFonts w:ascii="Times New Roman" w:eastAsia="Times New Roman" w:hAnsi="Times New Roman" w:cs="Times New Roman"/>
                      <w:sz w:val="24"/>
                      <w:szCs w:val="24"/>
                    </w:rPr>
                  </w:pPr>
                  <w:r w:rsidRPr="003B4E3A">
                    <w:rPr>
                      <w:rFonts w:ascii="Verdana" w:eastAsia="Times New Roman" w:hAnsi="Verdana" w:cs="Times New Roman"/>
                      <w:sz w:val="15"/>
                      <w:szCs w:val="15"/>
                    </w:rPr>
                    <w:t xml:space="preserve">Ami </w:t>
                  </w:r>
                  <w:proofErr w:type="spellStart"/>
                  <w:r w:rsidRPr="003B4E3A">
                    <w:rPr>
                      <w:rFonts w:ascii="Verdana" w:eastAsia="Times New Roman" w:hAnsi="Verdana" w:cs="Times New Roman"/>
                      <w:sz w:val="15"/>
                      <w:szCs w:val="15"/>
                    </w:rPr>
                    <w:t>Adini</w:t>
                  </w:r>
                  <w:proofErr w:type="spellEnd"/>
                  <w:r w:rsidRPr="003B4E3A">
                    <w:rPr>
                      <w:rFonts w:ascii="Verdana" w:eastAsia="Times New Roman" w:hAnsi="Verdana" w:cs="Times New Roman"/>
                      <w:sz w:val="15"/>
                      <w:szCs w:val="15"/>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3B4E3A">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tc>
            </w:tr>
          </w:tbl>
          <w:p w14:paraId="46B25E7E" w14:textId="77777777" w:rsidR="003B4E3A" w:rsidRPr="003B4E3A" w:rsidRDefault="003B4E3A" w:rsidP="003B4E3A">
            <w:pPr>
              <w:spacing w:after="0" w:line="240" w:lineRule="auto"/>
              <w:jc w:val="center"/>
              <w:rPr>
                <w:rFonts w:ascii="Times New Roman" w:eastAsia="Times New Roman" w:hAnsi="Times New Roman" w:cs="Times New Roman"/>
                <w:color w:val="000000"/>
                <w:sz w:val="27"/>
                <w:szCs w:val="27"/>
              </w:rPr>
            </w:pPr>
          </w:p>
        </w:tc>
      </w:tr>
    </w:tbl>
    <w:p w14:paraId="40DD6C0C" w14:textId="77777777" w:rsidR="007F7D7C" w:rsidRDefault="007F7D7C">
      <w:bookmarkStart w:id="0" w:name="_GoBack"/>
      <w:bookmarkEnd w:id="0"/>
    </w:p>
    <w:sectPr w:rsidR="007F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E3A"/>
    <w:rsid w:val="003B4E3A"/>
    <w:rsid w:val="0055002E"/>
    <w:rsid w:val="007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8D48B"/>
  <w15:chartTrackingRefBased/>
  <w15:docId w15:val="{96557556-CD8E-4A18-A6D5-D92E6297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4E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4E3A"/>
    <w:rPr>
      <w:b/>
      <w:bCs/>
    </w:rPr>
  </w:style>
  <w:style w:type="character" w:styleId="Hyperlink">
    <w:name w:val="Hyperlink"/>
    <w:basedOn w:val="DefaultParagraphFont"/>
    <w:uiPriority w:val="99"/>
    <w:semiHidden/>
    <w:unhideWhenUsed/>
    <w:rsid w:val="003B4E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7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amiadin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mail@amiadini.com" TargetMode="External"/><Relationship Id="rId5" Type="http://schemas.openxmlformats.org/officeDocument/2006/relationships/image" Target="media/image2.jpeg"/><Relationship Id="rId10" Type="http://schemas.openxmlformats.org/officeDocument/2006/relationships/hyperlink" Target="http://www.amiadini.com/"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794</Words>
  <Characters>4526</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2018-10-05T01:15:00Z</dcterms:created>
  <dcterms:modified xsi:type="dcterms:W3CDTF">2018-10-05T01:17:00Z</dcterms:modified>
</cp:coreProperties>
</file>