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tblBorders>
          <w:top w:val="outset" w:sz="6" w:space="0" w:color="006600"/>
          <w:left w:val="outset" w:sz="6" w:space="0" w:color="006600"/>
          <w:bottom w:val="outset" w:sz="6" w:space="0" w:color="006600"/>
          <w:right w:val="outset" w:sz="6" w:space="0" w:color="006600"/>
        </w:tblBorders>
        <w:shd w:val="clear" w:color="auto" w:fill="FFFFFF"/>
        <w:tblCellMar>
          <w:left w:w="0" w:type="dxa"/>
          <w:right w:w="0" w:type="dxa"/>
        </w:tblCellMar>
        <w:tblLook w:val="04A0" w:firstRow="1" w:lastRow="0" w:firstColumn="1" w:lastColumn="0" w:noHBand="0" w:noVBand="1"/>
      </w:tblPr>
      <w:tblGrid>
        <w:gridCol w:w="9029"/>
      </w:tblGrid>
      <w:tr w:rsidR="00B539D7" w:rsidRPr="00B539D7" w14:paraId="3D214524" w14:textId="77777777" w:rsidTr="00B539D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147A9134" w14:textId="74EC98FA" w:rsidR="00B539D7" w:rsidRPr="00B539D7" w:rsidRDefault="00B539D7" w:rsidP="00B539D7">
            <w:pPr>
              <w:spacing w:after="0" w:line="240" w:lineRule="auto"/>
              <w:jc w:val="center"/>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220F5E39" wp14:editId="7E754BDF">
                  <wp:extent cx="5715000" cy="730250"/>
                  <wp:effectExtent l="0" t="0" r="0" b="0"/>
                  <wp:docPr id="15" name="Picture 15"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30250"/>
                          </a:xfrm>
                          <a:prstGeom prst="rect">
                            <a:avLst/>
                          </a:prstGeom>
                          <a:noFill/>
                          <a:ln>
                            <a:noFill/>
                          </a:ln>
                        </pic:spPr>
                      </pic:pic>
                    </a:graphicData>
                  </a:graphic>
                </wp:inline>
              </w:drawing>
            </w:r>
          </w:p>
        </w:tc>
      </w:tr>
      <w:tr w:rsidR="00B539D7" w:rsidRPr="00B539D7" w14:paraId="4A956D47" w14:textId="77777777" w:rsidTr="00B539D7">
        <w:trPr>
          <w:tblCellSpacing w:w="0" w:type="dxa"/>
        </w:trPr>
        <w:tc>
          <w:tcPr>
            <w:tcW w:w="0" w:type="auto"/>
            <w:tcBorders>
              <w:top w:val="outset" w:sz="6" w:space="0" w:color="006600"/>
              <w:left w:val="outset" w:sz="6" w:space="0" w:color="006600"/>
              <w:bottom w:val="outset" w:sz="6" w:space="0" w:color="006600"/>
              <w:right w:val="outset" w:sz="6" w:space="0" w:color="006600"/>
            </w:tcBorders>
            <w:shd w:val="clear" w:color="auto" w:fill="FFFFFF"/>
            <w:hideMark/>
          </w:tcPr>
          <w:p w14:paraId="40665A55"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sz w:val="20"/>
                <w:szCs w:val="20"/>
              </w:rPr>
              <w:br/>
            </w:r>
            <w:r w:rsidRPr="00B539D7">
              <w:rPr>
                <w:rFonts w:ascii="Verdana" w:eastAsia="Times New Roman" w:hAnsi="Verdana" w:cs="Times New Roman"/>
                <w:b/>
                <w:bCs/>
                <w:sz w:val="20"/>
                <w:szCs w:val="20"/>
              </w:rPr>
              <w:t>Environmental Enlightenment #148</w:t>
            </w:r>
            <w:r w:rsidRPr="00B539D7">
              <w:rPr>
                <w:rFonts w:ascii="Verdana" w:eastAsia="Times New Roman" w:hAnsi="Verdana" w:cs="Times New Roman"/>
                <w:sz w:val="20"/>
                <w:szCs w:val="20"/>
              </w:rPr>
              <w:br/>
              <w:t xml:space="preserve">By Ami </w:t>
            </w:r>
            <w:proofErr w:type="spellStart"/>
            <w:r w:rsidRPr="00B539D7">
              <w:rPr>
                <w:rFonts w:ascii="Verdana" w:eastAsia="Times New Roman" w:hAnsi="Verdana" w:cs="Times New Roman"/>
                <w:sz w:val="20"/>
                <w:szCs w:val="20"/>
              </w:rPr>
              <w:t>Adini</w:t>
            </w:r>
            <w:proofErr w:type="spellEnd"/>
            <w:r w:rsidRPr="00B539D7">
              <w:rPr>
                <w:rFonts w:ascii="Verdana" w:eastAsia="Times New Roman" w:hAnsi="Verdana" w:cs="Times New Roman"/>
                <w:sz w:val="20"/>
                <w:szCs w:val="20"/>
              </w:rPr>
              <w:t xml:space="preserve"> - Reissued September 12, 2016</w:t>
            </w:r>
          </w:p>
          <w:tbl>
            <w:tblPr>
              <w:tblW w:w="8850" w:type="dxa"/>
              <w:jc w:val="center"/>
              <w:tblCellSpacing w:w="0" w:type="dxa"/>
              <w:tblBorders>
                <w:top w:val="outset" w:sz="6" w:space="0" w:color="006633"/>
                <w:left w:val="outset" w:sz="6" w:space="0" w:color="006633"/>
                <w:bottom w:val="outset" w:sz="6" w:space="0" w:color="006633"/>
                <w:right w:val="outset" w:sz="6" w:space="0" w:color="006633"/>
              </w:tblBorders>
              <w:tblCellMar>
                <w:top w:w="60" w:type="dxa"/>
                <w:left w:w="60" w:type="dxa"/>
                <w:bottom w:w="60" w:type="dxa"/>
                <w:right w:w="60" w:type="dxa"/>
              </w:tblCellMar>
              <w:tblLook w:val="04A0" w:firstRow="1" w:lastRow="0" w:firstColumn="1" w:lastColumn="0" w:noHBand="0" w:noVBand="1"/>
            </w:tblPr>
            <w:tblGrid>
              <w:gridCol w:w="8850"/>
            </w:tblGrid>
            <w:tr w:rsidR="00B539D7" w:rsidRPr="00B539D7" w14:paraId="06BA4A31"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31A44A11"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B539D7">
                    <w:rPr>
                      <w:rFonts w:ascii="Verdana" w:eastAsia="Times New Roman" w:hAnsi="Verdana" w:cs="Times New Roman"/>
                      <w:sz w:val="20"/>
                      <w:szCs w:val="20"/>
                    </w:rPr>
                    <w:t>learned, and</w:t>
                  </w:r>
                  <w:proofErr w:type="gramEnd"/>
                  <w:r w:rsidRPr="00B539D7">
                    <w:rPr>
                      <w:rFonts w:ascii="Verdana" w:eastAsia="Times New Roman" w:hAnsi="Verdana" w:cs="Times New Roman"/>
                      <w:sz w:val="20"/>
                      <w:szCs w:val="20"/>
                    </w:rPr>
                    <w:t xml:space="preserve"> enlighten the uninitiated on terms they may have heard but never knew the meaning of.</w:t>
                  </w:r>
                </w:p>
              </w:tc>
            </w:tr>
            <w:tr w:rsidR="00B539D7" w:rsidRPr="00B539D7" w14:paraId="17FB7F2A"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33BCEF60"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b/>
                      <w:bCs/>
                      <w:color w:val="003300"/>
                      <w:sz w:val="27"/>
                      <w:szCs w:val="27"/>
                    </w:rPr>
                    <w:t>Evaluation of Contaminated Properties</w:t>
                  </w:r>
                </w:p>
                <w:p w14:paraId="72380AD7"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OEHHA is short for the </w:t>
                  </w:r>
                  <w:hyperlink r:id="rId6" w:tgtFrame="_blank" w:history="1">
                    <w:r w:rsidRPr="00B539D7">
                      <w:rPr>
                        <w:rFonts w:ascii="Verdana" w:eastAsia="Times New Roman" w:hAnsi="Verdana" w:cs="Times New Roman"/>
                        <w:color w:val="0000FF"/>
                        <w:sz w:val="20"/>
                        <w:szCs w:val="20"/>
                        <w:u w:val="single"/>
                      </w:rPr>
                      <w:t>Office of Environmental Health Hazard Assessment</w:t>
                    </w:r>
                  </w:hyperlink>
                  <w:r w:rsidRPr="00B539D7">
                    <w:rPr>
                      <w:rFonts w:ascii="Verdana" w:eastAsia="Times New Roman" w:hAnsi="Verdana" w:cs="Times New Roman"/>
                      <w:sz w:val="20"/>
                      <w:szCs w:val="20"/>
                    </w:rPr>
                    <w:t>.</w:t>
                  </w:r>
                </w:p>
                <w:p w14:paraId="6B04D98E" w14:textId="6DF85A83"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noProof/>
                      <w:sz w:val="20"/>
                      <w:szCs w:val="20"/>
                    </w:rPr>
                    <w:drawing>
                      <wp:inline distT="0" distB="0" distL="0" distR="0" wp14:anchorId="429E6FDF" wp14:editId="52E9CA07">
                        <wp:extent cx="5429250" cy="838200"/>
                        <wp:effectExtent l="0" t="0" r="0" b="0"/>
                        <wp:docPr id="14" name="Picture 14" descr="http://amiadini.com/NewsletterArchive/160912-NL148/envEnl-148_clip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60912-NL148/envEnl-148_clip_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838200"/>
                                </a:xfrm>
                                <a:prstGeom prst="rect">
                                  <a:avLst/>
                                </a:prstGeom>
                                <a:noFill/>
                                <a:ln>
                                  <a:noFill/>
                                </a:ln>
                              </pic:spPr>
                            </pic:pic>
                          </a:graphicData>
                        </a:graphic>
                      </wp:inline>
                    </w:drawing>
                  </w:r>
                </w:p>
                <w:p w14:paraId="341B1BBE"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OEHHA is one of six agencies under the umbrella of </w:t>
                  </w:r>
                  <w:hyperlink r:id="rId8" w:tgtFrame="_blank" w:history="1">
                    <w:r w:rsidRPr="00B539D7">
                      <w:rPr>
                        <w:rFonts w:ascii="Verdana" w:eastAsia="Times New Roman" w:hAnsi="Verdana" w:cs="Times New Roman"/>
                        <w:color w:val="0000FF"/>
                        <w:sz w:val="20"/>
                        <w:szCs w:val="20"/>
                        <w:u w:val="single"/>
                      </w:rPr>
                      <w:t>California Environmental Protection Agency (CalEPA)</w:t>
                    </w:r>
                  </w:hyperlink>
                </w:p>
                <w:p w14:paraId="0F0404F2" w14:textId="2292E5D4"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noProof/>
                      <w:sz w:val="20"/>
                      <w:szCs w:val="20"/>
                    </w:rPr>
                    <w:drawing>
                      <wp:inline distT="0" distB="0" distL="0" distR="0" wp14:anchorId="53369C92" wp14:editId="0CCFFFBE">
                        <wp:extent cx="3162300" cy="1377950"/>
                        <wp:effectExtent l="0" t="0" r="0" b="0"/>
                        <wp:docPr id="13" name="Picture 13" descr="http://amiadini.com/NewsletterArchive/160912-NL148/envEnl-148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60912-NL148/envEnl-148_clip_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2300" cy="1377950"/>
                                </a:xfrm>
                                <a:prstGeom prst="rect">
                                  <a:avLst/>
                                </a:prstGeom>
                                <a:noFill/>
                                <a:ln>
                                  <a:noFill/>
                                </a:ln>
                              </pic:spPr>
                            </pic:pic>
                          </a:graphicData>
                        </a:graphic>
                      </wp:inline>
                    </w:drawing>
                  </w:r>
                </w:p>
                <w:p w14:paraId="283E5EE1"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The mission of OEHHA is to “protect and enhance public health and the environment by scientific evaluation of risks posed by hazardous substances, succinctly stated on its web page as "Science for a Healthy California."</w:t>
                  </w:r>
                </w:p>
                <w:p w14:paraId="7BCAA298" w14:textId="4DC32C59"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noProof/>
                      <w:sz w:val="20"/>
                      <w:szCs w:val="20"/>
                    </w:rPr>
                    <w:drawing>
                      <wp:inline distT="0" distB="0" distL="0" distR="0" wp14:anchorId="71216FB8" wp14:editId="28C94E07">
                        <wp:extent cx="4483100" cy="1828800"/>
                        <wp:effectExtent l="0" t="0" r="0" b="0"/>
                        <wp:docPr id="12" name="Picture 12" descr="http://amiadini.com/NewsletterArchive/160912-NL148/envEnl-148_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60912-NL148/envEnl-148_clip_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3100" cy="1828800"/>
                                </a:xfrm>
                                <a:prstGeom prst="rect">
                                  <a:avLst/>
                                </a:prstGeom>
                                <a:noFill/>
                                <a:ln>
                                  <a:noFill/>
                                </a:ln>
                              </pic:spPr>
                            </pic:pic>
                          </a:graphicData>
                        </a:graphic>
                      </wp:inline>
                    </w:drawing>
                  </w:r>
                </w:p>
                <w:p w14:paraId="27CC9EA7"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OEHHA develops and provides risk managers in state and local government agencies with toxicological and medical information relevant to decisions involving public health.</w:t>
                  </w:r>
                </w:p>
                <w:p w14:paraId="6FEF22D7"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Toxicology and medicine are not exact fields to the degree that physics or chemistry are; hence, there are no numbers that are “cut and dry” as to what constitutes a health hazard.</w:t>
                  </w:r>
                </w:p>
                <w:p w14:paraId="44187875"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Thus, toxicologists deal with “acceptable risks.”</w:t>
                  </w:r>
                </w:p>
                <w:p w14:paraId="79D1FF23" w14:textId="3E1B4152"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noProof/>
                      <w:sz w:val="20"/>
                      <w:szCs w:val="20"/>
                    </w:rPr>
                    <w:drawing>
                      <wp:inline distT="0" distB="0" distL="0" distR="0" wp14:anchorId="2AC7C827" wp14:editId="61095553">
                        <wp:extent cx="4533900" cy="3022600"/>
                        <wp:effectExtent l="0" t="0" r="0" b="6350"/>
                        <wp:docPr id="11" name="Picture 11" descr="http://amiadini.com/NewsletterArchive/160912-NL148/envEnl-148_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60912-NL148/envEnl-148_clip_image00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3022600"/>
                                </a:xfrm>
                                <a:prstGeom prst="rect">
                                  <a:avLst/>
                                </a:prstGeom>
                                <a:noFill/>
                                <a:ln>
                                  <a:noFill/>
                                </a:ln>
                              </pic:spPr>
                            </pic:pic>
                          </a:graphicData>
                        </a:graphic>
                      </wp:inline>
                    </w:drawing>
                  </w:r>
                </w:p>
                <w:p w14:paraId="0835CB5E"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One yardstick to acceptable risk is that it is okay for a lifetime exposure to a substance to increase the chance of developing cancer for one person in a million or less. </w:t>
                  </w:r>
                  <w:r w:rsidRPr="00B539D7">
                    <w:rPr>
                      <w:rFonts w:ascii="Verdana" w:eastAsia="Times New Roman" w:hAnsi="Verdana" w:cs="Times New Roman"/>
                      <w:sz w:val="20"/>
                      <w:szCs w:val="20"/>
                    </w:rPr>
                    <w:br/>
                  </w:r>
                  <w:r w:rsidRPr="00B539D7">
                    <w:rPr>
                      <w:rFonts w:ascii="Verdana" w:eastAsia="Times New Roman" w:hAnsi="Verdana" w:cs="Times New Roman"/>
                      <w:sz w:val="20"/>
                      <w:szCs w:val="20"/>
                    </w:rPr>
                    <w:br/>
                    <w:t xml:space="preserve">Take for example a place that manufactures a </w:t>
                  </w:r>
                  <w:proofErr w:type="gramStart"/>
                  <w:r w:rsidRPr="00B539D7">
                    <w:rPr>
                      <w:rFonts w:ascii="Verdana" w:eastAsia="Times New Roman" w:hAnsi="Verdana" w:cs="Times New Roman"/>
                      <w:sz w:val="20"/>
                      <w:szCs w:val="20"/>
                    </w:rPr>
                    <w:t>dry cleaning</w:t>
                  </w:r>
                  <w:proofErr w:type="gramEnd"/>
                  <w:r w:rsidRPr="00B539D7">
                    <w:rPr>
                      <w:rFonts w:ascii="Verdana" w:eastAsia="Times New Roman" w:hAnsi="Verdana" w:cs="Times New Roman"/>
                      <w:sz w:val="20"/>
                      <w:szCs w:val="20"/>
                    </w:rPr>
                    <w:t xml:space="preserve"> solvent called perchloroethylene (PCE) which will cause cancer if too much of it absorbs into a body. We measure the PCE vapor in the air and find it to be X millionths of a gram (micrograms) for every cubic meter. The toxicologist will then tell us that that X number is okay </w:t>
                  </w:r>
                  <w:proofErr w:type="gramStart"/>
                  <w:r w:rsidRPr="00B539D7">
                    <w:rPr>
                      <w:rFonts w:ascii="Verdana" w:eastAsia="Times New Roman" w:hAnsi="Verdana" w:cs="Times New Roman"/>
                      <w:sz w:val="20"/>
                      <w:szCs w:val="20"/>
                    </w:rPr>
                    <w:t>as long as</w:t>
                  </w:r>
                  <w:proofErr w:type="gramEnd"/>
                  <w:r w:rsidRPr="00B539D7">
                    <w:rPr>
                      <w:rFonts w:ascii="Verdana" w:eastAsia="Times New Roman" w:hAnsi="Verdana" w:cs="Times New Roman"/>
                      <w:sz w:val="20"/>
                      <w:szCs w:val="20"/>
                    </w:rPr>
                    <w:t xml:space="preserve"> lifetime exposure to it will cause cancer in no more than one person in a million.</w:t>
                  </w:r>
                </w:p>
                <w:p w14:paraId="12C78D1F" w14:textId="2793040F"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noProof/>
                      <w:sz w:val="20"/>
                      <w:szCs w:val="20"/>
                    </w:rPr>
                    <w:drawing>
                      <wp:inline distT="0" distB="0" distL="0" distR="0" wp14:anchorId="4D563FA2" wp14:editId="22E0DD35">
                        <wp:extent cx="5238750" cy="3924300"/>
                        <wp:effectExtent l="0" t="0" r="0" b="0"/>
                        <wp:docPr id="10" name="Picture 10" descr="http://amiadini.com/NewsletterArchive/160912-NL148/envEnl-148_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60912-NL148/envEnl-148_clip_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14:paraId="0C7DAC0A"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If a person lives in a home that is situated on a land that emits toxic gas, and if the gas enters the home and we find that there are 4 millionths of gram of that gas in every cubic meter of space, then this person is exposed to that much toxic gas. This is his </w:t>
                  </w:r>
                  <w:r w:rsidRPr="00B539D7">
                    <w:rPr>
                      <w:rFonts w:ascii="Verdana" w:eastAsia="Times New Roman" w:hAnsi="Verdana" w:cs="Times New Roman"/>
                      <w:i/>
                      <w:iCs/>
                      <w:sz w:val="20"/>
                      <w:szCs w:val="20"/>
                    </w:rPr>
                    <w:t>exposure</w:t>
                  </w:r>
                  <w:r w:rsidRPr="00B539D7">
                    <w:rPr>
                      <w:rFonts w:ascii="Verdana" w:eastAsia="Times New Roman" w:hAnsi="Verdana" w:cs="Times New Roman"/>
                      <w:sz w:val="20"/>
                      <w:szCs w:val="20"/>
                    </w:rPr>
                    <w:t>.</w:t>
                  </w:r>
                </w:p>
                <w:p w14:paraId="4C3DC3F0" w14:textId="58F5B8C8"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noProof/>
                      <w:sz w:val="20"/>
                      <w:szCs w:val="20"/>
                    </w:rPr>
                    <w:drawing>
                      <wp:inline distT="0" distB="0" distL="0" distR="0" wp14:anchorId="00D3FDED" wp14:editId="52EC93FA">
                        <wp:extent cx="4273550" cy="4121150"/>
                        <wp:effectExtent l="0" t="0" r="0" b="0"/>
                        <wp:docPr id="9" name="Picture 9" descr="http://amiadini.com/NewsletterArchive/160912-NL148/envEnl-148_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miadini.com/NewsletterArchive/160912-NL148/envEnl-148_clip_image00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3550" cy="4121150"/>
                                </a:xfrm>
                                <a:prstGeom prst="rect">
                                  <a:avLst/>
                                </a:prstGeom>
                                <a:noFill/>
                                <a:ln>
                                  <a:noFill/>
                                </a:ln>
                              </pic:spPr>
                            </pic:pic>
                          </a:graphicData>
                        </a:graphic>
                      </wp:inline>
                    </w:drawing>
                  </w:r>
                </w:p>
                <w:p w14:paraId="7892B2E3"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hyperlink r:id="rId14" w:tgtFrame="_blank" w:history="1">
                    <w:r w:rsidRPr="00B539D7">
                      <w:rPr>
                        <w:rFonts w:ascii="Verdana" w:eastAsia="Times New Roman" w:hAnsi="Verdana" w:cs="Times New Roman"/>
                        <w:color w:val="0000FF"/>
                        <w:sz w:val="15"/>
                        <w:szCs w:val="15"/>
                        <w:u w:val="single"/>
                      </w:rPr>
                      <w:t>https://www.epa.gov/vaporintrusion/what-vapor-intrusion</w:t>
                    </w:r>
                  </w:hyperlink>
                </w:p>
                <w:p w14:paraId="2EE5B377"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4 millionths of a gram per cubic meter = 4 micrograms/cubic meter = 4µg/m</w:t>
                  </w:r>
                  <w:r w:rsidRPr="00B539D7">
                    <w:rPr>
                      <w:rFonts w:ascii="Verdana" w:eastAsia="Times New Roman" w:hAnsi="Verdana" w:cs="Times New Roman"/>
                      <w:sz w:val="20"/>
                      <w:szCs w:val="20"/>
                      <w:vertAlign w:val="superscript"/>
                    </w:rPr>
                    <w:t>3</w:t>
                  </w:r>
                </w:p>
                <w:p w14:paraId="3D229F97"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We use the Greek letter </w:t>
                  </w:r>
                  <w:r w:rsidRPr="00B539D7">
                    <w:rPr>
                      <w:rFonts w:ascii="Verdana" w:eastAsia="Times New Roman" w:hAnsi="Verdana" w:cs="Times New Roman"/>
                      <w:b/>
                      <w:bCs/>
                      <w:sz w:val="20"/>
                      <w:szCs w:val="20"/>
                    </w:rPr>
                    <w:t>µ</w:t>
                  </w:r>
                  <w:r w:rsidRPr="00B539D7">
                    <w:rPr>
                      <w:rFonts w:ascii="Verdana" w:eastAsia="Times New Roman" w:hAnsi="Verdana" w:cs="Times New Roman"/>
                      <w:sz w:val="20"/>
                      <w:szCs w:val="20"/>
                    </w:rPr>
                    <w:t> (pronounced mu) to denote “micro” which means one millionth.</w:t>
                  </w:r>
                </w:p>
                <w:p w14:paraId="74514901"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A quotient is a result obtained by dividing one quantity by another; it's the number of times one quantity is contained in another. Thus, if we divide 10 by 2, the quotient is 5 (10:2 = 5), and if we divide 10 by 4, the quotient is 2.5 (10:4 = 2.5)</w:t>
                  </w:r>
                </w:p>
                <w:p w14:paraId="6D6AB3CE" w14:textId="384B054E"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noProof/>
                      <w:sz w:val="20"/>
                      <w:szCs w:val="20"/>
                    </w:rPr>
                    <w:drawing>
                      <wp:inline distT="0" distB="0" distL="0" distR="0" wp14:anchorId="5FC118EE" wp14:editId="54681719">
                        <wp:extent cx="2381250" cy="1924050"/>
                        <wp:effectExtent l="0" t="0" r="0" b="0"/>
                        <wp:docPr id="8" name="Picture 8" descr="http://amiadini.com/NewsletterArchive/160912-NL148/envEnl-148_clip_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miadini.com/NewsletterArchive/160912-NL148/envEnl-148_clip_image007.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p>
                <w:p w14:paraId="3180DD33"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A Hazard Quotient (HQ) is the ratio between the potential exposure to a substance and the level at which no adverse effects are expected.</w:t>
                  </w:r>
                </w:p>
                <w:p w14:paraId="37B2AEA4"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sz w:val="20"/>
                      <w:szCs w:val="20"/>
                    </w:rPr>
                    <w:t>           Potential Exposure (micrograms/cubic meter)</w:t>
                  </w:r>
                  <w:r w:rsidRPr="00B539D7">
                    <w:rPr>
                      <w:rFonts w:ascii="Verdana" w:eastAsia="Times New Roman" w:hAnsi="Verdana" w:cs="Times New Roman"/>
                      <w:sz w:val="20"/>
                      <w:szCs w:val="20"/>
                    </w:rPr>
                    <w:br/>
                    <w:t>HQ = ----------------------------------------------------</w:t>
                  </w:r>
                  <w:r w:rsidRPr="00B539D7">
                    <w:rPr>
                      <w:rFonts w:ascii="Verdana" w:eastAsia="Times New Roman" w:hAnsi="Verdana" w:cs="Times New Roman"/>
                      <w:sz w:val="20"/>
                      <w:szCs w:val="20"/>
                    </w:rPr>
                    <w:br/>
                    <w:t>                     Level of no adverse effect (micrograms/cubic meter)</w:t>
                  </w:r>
                </w:p>
                <w:p w14:paraId="5CE29D7F"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Example: The measured level of the toxicant is 80,000µ/m</w:t>
                  </w:r>
                  <w:r w:rsidRPr="00B539D7">
                    <w:rPr>
                      <w:rFonts w:ascii="Verdana" w:eastAsia="Times New Roman" w:hAnsi="Verdana" w:cs="Times New Roman"/>
                      <w:sz w:val="20"/>
                      <w:szCs w:val="20"/>
                      <w:vertAlign w:val="superscript"/>
                    </w:rPr>
                    <w:t>3</w:t>
                  </w:r>
                  <w:r w:rsidRPr="00B539D7">
                    <w:rPr>
                      <w:rFonts w:ascii="Verdana" w:eastAsia="Times New Roman" w:hAnsi="Verdana" w:cs="Times New Roman"/>
                      <w:sz w:val="20"/>
                      <w:szCs w:val="20"/>
                    </w:rPr>
                    <w:t> and the highest concentration of the toxicant known not to cause harm is 20,000µg/m</w:t>
                  </w:r>
                  <w:r w:rsidRPr="00B539D7">
                    <w:rPr>
                      <w:rFonts w:ascii="Verdana" w:eastAsia="Times New Roman" w:hAnsi="Verdana" w:cs="Times New Roman"/>
                      <w:sz w:val="20"/>
                      <w:szCs w:val="20"/>
                      <w:vertAlign w:val="superscript"/>
                    </w:rPr>
                    <w:t>3</w:t>
                  </w:r>
                  <w:r w:rsidRPr="00B539D7">
                    <w:rPr>
                      <w:rFonts w:ascii="Verdana" w:eastAsia="Times New Roman" w:hAnsi="Verdana" w:cs="Times New Roman"/>
                      <w:sz w:val="20"/>
                      <w:szCs w:val="20"/>
                    </w:rPr>
                    <w:t>:</w:t>
                  </w:r>
                </w:p>
                <w:tbl>
                  <w:tblPr>
                    <w:tblW w:w="5000" w:type="pct"/>
                    <w:tblCellSpacing w:w="15" w:type="dxa"/>
                    <w:tblCellMar>
                      <w:left w:w="0" w:type="dxa"/>
                      <w:right w:w="0" w:type="dxa"/>
                    </w:tblCellMar>
                    <w:tblLook w:val="04A0" w:firstRow="1" w:lastRow="0" w:firstColumn="1" w:lastColumn="0" w:noHBand="0" w:noVBand="1"/>
                  </w:tblPr>
                  <w:tblGrid>
                    <w:gridCol w:w="4575"/>
                    <w:gridCol w:w="330"/>
                    <w:gridCol w:w="3795"/>
                  </w:tblGrid>
                  <w:tr w:rsidR="00B539D7" w:rsidRPr="00B539D7" w14:paraId="445F0FA5" w14:textId="77777777">
                    <w:trPr>
                      <w:tblCellSpacing w:w="15" w:type="dxa"/>
                    </w:trPr>
                    <w:tc>
                      <w:tcPr>
                        <w:tcW w:w="0" w:type="auto"/>
                        <w:vAlign w:val="center"/>
                        <w:hideMark/>
                      </w:tcPr>
                      <w:p w14:paraId="7CC0FBC2"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300" w:type="dxa"/>
                        <w:vAlign w:val="center"/>
                        <w:hideMark/>
                      </w:tcPr>
                      <w:p w14:paraId="12872D87"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3750" w:type="dxa"/>
                        <w:vAlign w:val="center"/>
                        <w:hideMark/>
                      </w:tcPr>
                      <w:p w14:paraId="66EA44D2"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r>
                  <w:tr w:rsidR="00B539D7" w:rsidRPr="00B539D7" w14:paraId="63CA6E80" w14:textId="77777777">
                    <w:trPr>
                      <w:tblCellSpacing w:w="15" w:type="dxa"/>
                    </w:trPr>
                    <w:tc>
                      <w:tcPr>
                        <w:tcW w:w="0" w:type="auto"/>
                        <w:vAlign w:val="center"/>
                        <w:hideMark/>
                      </w:tcPr>
                      <w:p w14:paraId="0DE8013D"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sz w:val="20"/>
                            <w:szCs w:val="20"/>
                          </w:rPr>
                          <w:t>      80,000µg/m</w:t>
                        </w:r>
                        <w:r w:rsidRPr="00B539D7">
                          <w:rPr>
                            <w:rFonts w:ascii="Verdana" w:eastAsia="Times New Roman" w:hAnsi="Verdana" w:cs="Times New Roman"/>
                            <w:sz w:val="20"/>
                            <w:szCs w:val="20"/>
                            <w:vertAlign w:val="superscript"/>
                          </w:rPr>
                          <w:t>3</w:t>
                        </w:r>
                        <w:r w:rsidRPr="00B539D7">
                          <w:rPr>
                            <w:rFonts w:ascii="Verdana" w:eastAsia="Times New Roman" w:hAnsi="Verdana" w:cs="Times New Roman"/>
                            <w:sz w:val="20"/>
                            <w:szCs w:val="20"/>
                          </w:rPr>
                          <w:br/>
                          <w:t>   HQ = ---------------- = 4</w:t>
                        </w:r>
                        <w:r w:rsidRPr="00B539D7">
                          <w:rPr>
                            <w:rFonts w:ascii="Verdana" w:eastAsia="Times New Roman" w:hAnsi="Verdana" w:cs="Times New Roman"/>
                            <w:sz w:val="20"/>
                            <w:szCs w:val="20"/>
                          </w:rPr>
                          <w:br/>
                          <w:t>      20,000µg/m</w:t>
                        </w:r>
                        <w:r w:rsidRPr="00B539D7">
                          <w:rPr>
                            <w:rFonts w:ascii="Verdana" w:eastAsia="Times New Roman" w:hAnsi="Verdana" w:cs="Times New Roman"/>
                            <w:sz w:val="20"/>
                            <w:szCs w:val="20"/>
                            <w:vertAlign w:val="superscript"/>
                          </w:rPr>
                          <w:t>3</w:t>
                        </w:r>
                      </w:p>
                    </w:tc>
                    <w:tc>
                      <w:tcPr>
                        <w:tcW w:w="0" w:type="auto"/>
                        <w:vAlign w:val="center"/>
                        <w:hideMark/>
                      </w:tcPr>
                      <w:p w14:paraId="188441E7"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0" w:type="auto"/>
                        <w:vMerge w:val="restart"/>
                        <w:vAlign w:val="center"/>
                        <w:hideMark/>
                      </w:tcPr>
                      <w:p w14:paraId="24E0EBFF" w14:textId="7B2956C0"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0DE64645" wp14:editId="53FBBA5D">
                              <wp:extent cx="2381250" cy="2260600"/>
                              <wp:effectExtent l="0" t="0" r="0" b="6350"/>
                              <wp:docPr id="7" name="Picture 7" descr="http://amiadini.com/NewsletterArchive/160912-NL148/envEnl-148_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miadini.com/NewsletterArchive/160912-NL148/envEnl-148_clip_image0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2260600"/>
                                      </a:xfrm>
                                      <a:prstGeom prst="rect">
                                        <a:avLst/>
                                      </a:prstGeom>
                                      <a:noFill/>
                                      <a:ln>
                                        <a:noFill/>
                                      </a:ln>
                                    </pic:spPr>
                                  </pic:pic>
                                </a:graphicData>
                              </a:graphic>
                            </wp:inline>
                          </w:drawing>
                        </w:r>
                      </w:p>
                    </w:tc>
                  </w:tr>
                  <w:tr w:rsidR="00B539D7" w:rsidRPr="00B539D7" w14:paraId="51887780" w14:textId="77777777">
                    <w:trPr>
                      <w:tblCellSpacing w:w="15" w:type="dxa"/>
                    </w:trPr>
                    <w:tc>
                      <w:tcPr>
                        <w:tcW w:w="0" w:type="auto"/>
                        <w:vAlign w:val="center"/>
                        <w:hideMark/>
                      </w:tcPr>
                      <w:p w14:paraId="67FE0EAC"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0" w:type="auto"/>
                        <w:vAlign w:val="center"/>
                        <w:hideMark/>
                      </w:tcPr>
                      <w:p w14:paraId="1885C516"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0" w:type="auto"/>
                        <w:vMerge/>
                        <w:vAlign w:val="center"/>
                        <w:hideMark/>
                      </w:tcPr>
                      <w:p w14:paraId="5EE6A658" w14:textId="77777777" w:rsidR="00B539D7" w:rsidRPr="00B539D7" w:rsidRDefault="00B539D7" w:rsidP="00B539D7">
                        <w:pPr>
                          <w:spacing w:after="0" w:line="240" w:lineRule="auto"/>
                          <w:rPr>
                            <w:rFonts w:ascii="Times New Roman" w:eastAsia="Times New Roman" w:hAnsi="Times New Roman" w:cs="Times New Roman"/>
                            <w:sz w:val="24"/>
                            <w:szCs w:val="24"/>
                          </w:rPr>
                        </w:pPr>
                      </w:p>
                    </w:tc>
                  </w:tr>
                  <w:tr w:rsidR="00B539D7" w:rsidRPr="00B539D7" w14:paraId="491C24C7" w14:textId="77777777">
                    <w:trPr>
                      <w:tblCellSpacing w:w="15" w:type="dxa"/>
                    </w:trPr>
                    <w:tc>
                      <w:tcPr>
                        <w:tcW w:w="0" w:type="auto"/>
                        <w:vAlign w:val="center"/>
                        <w:hideMark/>
                      </w:tcPr>
                      <w:p w14:paraId="7B5D5B2A"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This may portend trouble.</w:t>
                        </w:r>
                      </w:p>
                    </w:tc>
                    <w:tc>
                      <w:tcPr>
                        <w:tcW w:w="0" w:type="auto"/>
                        <w:vAlign w:val="center"/>
                        <w:hideMark/>
                      </w:tcPr>
                      <w:p w14:paraId="477F4927"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0" w:type="auto"/>
                        <w:vMerge/>
                        <w:vAlign w:val="center"/>
                        <w:hideMark/>
                      </w:tcPr>
                      <w:p w14:paraId="79263069" w14:textId="77777777" w:rsidR="00B539D7" w:rsidRPr="00B539D7" w:rsidRDefault="00B539D7" w:rsidP="00B539D7">
                        <w:pPr>
                          <w:spacing w:after="0" w:line="240" w:lineRule="auto"/>
                          <w:rPr>
                            <w:rFonts w:ascii="Times New Roman" w:eastAsia="Times New Roman" w:hAnsi="Times New Roman" w:cs="Times New Roman"/>
                            <w:sz w:val="24"/>
                            <w:szCs w:val="24"/>
                          </w:rPr>
                        </w:pPr>
                      </w:p>
                    </w:tc>
                  </w:tr>
                </w:tbl>
                <w:p w14:paraId="57BBD137"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p w14:paraId="5B560C89"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Intuitively, we'd like to see HQs of 1, because it would then mean that the level of exposure equals the level at which no adverse effects are expected, right?</w:t>
                  </w:r>
                </w:p>
                <w:p w14:paraId="0F2BD0A5"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Right!</w:t>
                  </w:r>
                </w:p>
                <w:p w14:paraId="1EEFFA7F"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 xml:space="preserve">If the Hazard Quotient is calculated to be less than 1, then no adverse health effects are expected </w:t>
                  </w:r>
                  <w:proofErr w:type="gramStart"/>
                  <w:r w:rsidRPr="00B539D7">
                    <w:rPr>
                      <w:rFonts w:ascii="Verdana" w:eastAsia="Times New Roman" w:hAnsi="Verdana" w:cs="Times New Roman"/>
                      <w:sz w:val="20"/>
                      <w:szCs w:val="20"/>
                    </w:rPr>
                    <w:t>as a result of</w:t>
                  </w:r>
                  <w:proofErr w:type="gramEnd"/>
                  <w:r w:rsidRPr="00B539D7">
                    <w:rPr>
                      <w:rFonts w:ascii="Verdana" w:eastAsia="Times New Roman" w:hAnsi="Verdana" w:cs="Times New Roman"/>
                      <w:sz w:val="20"/>
                      <w:szCs w:val="20"/>
                    </w:rPr>
                    <w:t xml:space="preserve"> exposure</w:t>
                  </w:r>
                </w:p>
                <w:tbl>
                  <w:tblPr>
                    <w:tblW w:w="5000" w:type="pct"/>
                    <w:tblCellSpacing w:w="15" w:type="dxa"/>
                    <w:tblCellMar>
                      <w:left w:w="0" w:type="dxa"/>
                      <w:right w:w="0" w:type="dxa"/>
                    </w:tblCellMar>
                    <w:tblLook w:val="04A0" w:firstRow="1" w:lastRow="0" w:firstColumn="1" w:lastColumn="0" w:noHBand="0" w:noVBand="1"/>
                  </w:tblPr>
                  <w:tblGrid>
                    <w:gridCol w:w="5602"/>
                    <w:gridCol w:w="3098"/>
                  </w:tblGrid>
                  <w:tr w:rsidR="00B539D7" w:rsidRPr="00B539D7" w14:paraId="51698EEE" w14:textId="77777777">
                    <w:trPr>
                      <w:tblCellSpacing w:w="15" w:type="dxa"/>
                    </w:trPr>
                    <w:tc>
                      <w:tcPr>
                        <w:tcW w:w="5460" w:type="dxa"/>
                        <w:vAlign w:val="center"/>
                        <w:hideMark/>
                      </w:tcPr>
                      <w:p w14:paraId="7769A895"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HQ greater than 1.0 requires attention.</w:t>
                        </w:r>
                      </w:p>
                    </w:tc>
                    <w:tc>
                      <w:tcPr>
                        <w:tcW w:w="3000" w:type="dxa"/>
                        <w:vAlign w:val="center"/>
                        <w:hideMark/>
                      </w:tcPr>
                      <w:p w14:paraId="2B756327" w14:textId="27690BAF" w:rsidR="00B539D7" w:rsidRPr="00B539D7" w:rsidRDefault="00B539D7" w:rsidP="00B539D7">
                        <w:pPr>
                          <w:spacing w:after="0" w:line="240" w:lineRule="auto"/>
                          <w:jc w:val="right"/>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562281E8" wp14:editId="2A26A3DD">
                              <wp:extent cx="1905000" cy="2444750"/>
                              <wp:effectExtent l="0" t="0" r="0" b="0"/>
                              <wp:docPr id="6" name="Picture 6" descr="http://amiadini.com/NewsletterArchive/160912-NL148/envEnl-148_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miadini.com/NewsletterArchive/160912-NL148/envEnl-148_clip_image00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444750"/>
                                      </a:xfrm>
                                      <a:prstGeom prst="rect">
                                        <a:avLst/>
                                      </a:prstGeom>
                                      <a:noFill/>
                                      <a:ln>
                                        <a:noFill/>
                                      </a:ln>
                                    </pic:spPr>
                                  </pic:pic>
                                </a:graphicData>
                              </a:graphic>
                            </wp:inline>
                          </w:drawing>
                        </w:r>
                      </w:p>
                    </w:tc>
                  </w:tr>
                </w:tbl>
                <w:p w14:paraId="599D3067" w14:textId="77777777" w:rsidR="00B539D7" w:rsidRPr="00B539D7" w:rsidRDefault="00B539D7" w:rsidP="00B539D7">
                  <w:pPr>
                    <w:spacing w:after="0" w:line="240" w:lineRule="auto"/>
                    <w:rPr>
                      <w:rFonts w:ascii="Times New Roman" w:eastAsia="Times New Roman" w:hAnsi="Times New Roman" w:cs="Times New Roman"/>
                      <w:vanish/>
                      <w:sz w:val="24"/>
                      <w:szCs w:val="24"/>
                    </w:rPr>
                  </w:pPr>
                </w:p>
                <w:tbl>
                  <w:tblPr>
                    <w:tblW w:w="5000" w:type="pct"/>
                    <w:tblCellSpacing w:w="15" w:type="dxa"/>
                    <w:tblCellMar>
                      <w:left w:w="0" w:type="dxa"/>
                      <w:right w:w="0" w:type="dxa"/>
                    </w:tblCellMar>
                    <w:tblLook w:val="04A0" w:firstRow="1" w:lastRow="0" w:firstColumn="1" w:lastColumn="0" w:noHBand="0" w:noVBand="1"/>
                  </w:tblPr>
                  <w:tblGrid>
                    <w:gridCol w:w="5370"/>
                    <w:gridCol w:w="3330"/>
                  </w:tblGrid>
                  <w:tr w:rsidR="00B539D7" w:rsidRPr="00B539D7" w14:paraId="693252EB" w14:textId="77777777">
                    <w:trPr>
                      <w:tblCellSpacing w:w="15" w:type="dxa"/>
                    </w:trPr>
                    <w:tc>
                      <w:tcPr>
                        <w:tcW w:w="0" w:type="auto"/>
                        <w:vAlign w:val="center"/>
                        <w:hideMark/>
                      </w:tcPr>
                      <w:p w14:paraId="7E56C77D"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HQ less than 1.0 is generally not toxic.</w:t>
                        </w:r>
                      </w:p>
                    </w:tc>
                    <w:tc>
                      <w:tcPr>
                        <w:tcW w:w="3285" w:type="dxa"/>
                        <w:vAlign w:val="center"/>
                        <w:hideMark/>
                      </w:tcPr>
                      <w:p w14:paraId="62301213" w14:textId="0B44779A" w:rsidR="00B539D7" w:rsidRPr="00B539D7" w:rsidRDefault="00B539D7" w:rsidP="00B539D7">
                        <w:pPr>
                          <w:spacing w:after="0" w:line="240" w:lineRule="auto"/>
                          <w:jc w:val="right"/>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04DE8E02" wp14:editId="3D5544FD">
                              <wp:extent cx="1905000" cy="1708150"/>
                              <wp:effectExtent l="0" t="0" r="0" b="6350"/>
                              <wp:docPr id="5" name="Picture 5" descr="http://amiadini.com/NewsletterArchive/160912-NL148/envEnl-148_clip_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miadini.com/NewsletterArchive/160912-NL148/envEnl-148_clip_image01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1708150"/>
                                      </a:xfrm>
                                      <a:prstGeom prst="rect">
                                        <a:avLst/>
                                      </a:prstGeom>
                                      <a:noFill/>
                                      <a:ln>
                                        <a:noFill/>
                                      </a:ln>
                                    </pic:spPr>
                                  </pic:pic>
                                </a:graphicData>
                              </a:graphic>
                            </wp:inline>
                          </w:drawing>
                        </w:r>
                      </w:p>
                    </w:tc>
                  </w:tr>
                </w:tbl>
                <w:p w14:paraId="4AA3F06A"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B539D7">
                      <w:rPr>
                        <w:rFonts w:ascii="Verdana" w:eastAsia="Times New Roman" w:hAnsi="Verdana" w:cs="Times New Roman"/>
                        <w:color w:val="0000FF"/>
                        <w:sz w:val="20"/>
                        <w:szCs w:val="20"/>
                        <w:u w:val="single"/>
                      </w:rPr>
                      <w:t>California Human Health Screening Levels (CHHSLs)</w:t>
                    </w:r>
                  </w:hyperlink>
                  <w:r w:rsidRPr="00B539D7">
                    <w:rPr>
                      <w:rFonts w:ascii="Verdana" w:eastAsia="Times New Roman" w:hAnsi="Verdana" w:cs="Times New Roman"/>
                      <w:sz w:val="20"/>
                      <w:szCs w:val="20"/>
                    </w:rPr>
                    <w:t> were developed by OEHHA on behalf of the California Environmental Protection Agency.</w:t>
                  </w:r>
                </w:p>
                <w:p w14:paraId="0E4AF3B1"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The CHHSLs are concentrations of chemicals in soil or soil-gas below threshold levels of concern for risks to human health.</w:t>
                  </w:r>
                </w:p>
                <w:tbl>
                  <w:tblPr>
                    <w:tblW w:w="5000" w:type="pct"/>
                    <w:tblCellSpacing w:w="15" w:type="dxa"/>
                    <w:tblCellMar>
                      <w:left w:w="0" w:type="dxa"/>
                      <w:right w:w="0" w:type="dxa"/>
                    </w:tblCellMar>
                    <w:tblLook w:val="04A0" w:firstRow="1" w:lastRow="0" w:firstColumn="1" w:lastColumn="0" w:noHBand="0" w:noVBand="1"/>
                  </w:tblPr>
                  <w:tblGrid>
                    <w:gridCol w:w="2325"/>
                    <w:gridCol w:w="330"/>
                    <w:gridCol w:w="6045"/>
                  </w:tblGrid>
                  <w:tr w:rsidR="00B539D7" w:rsidRPr="00B539D7" w14:paraId="09CC6465" w14:textId="77777777">
                    <w:trPr>
                      <w:tblCellSpacing w:w="15" w:type="dxa"/>
                    </w:trPr>
                    <w:tc>
                      <w:tcPr>
                        <w:tcW w:w="0" w:type="auto"/>
                        <w:vAlign w:val="center"/>
                        <w:hideMark/>
                      </w:tcPr>
                      <w:p w14:paraId="6C739754"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300" w:type="dxa"/>
                        <w:vAlign w:val="center"/>
                        <w:hideMark/>
                      </w:tcPr>
                      <w:p w14:paraId="29815D0A"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6000" w:type="dxa"/>
                        <w:vAlign w:val="center"/>
                        <w:hideMark/>
                      </w:tcPr>
                      <w:p w14:paraId="62DB1548"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r>
                  <w:tr w:rsidR="00B539D7" w:rsidRPr="00B539D7" w14:paraId="307BC6F5" w14:textId="77777777">
                    <w:trPr>
                      <w:tblCellSpacing w:w="15" w:type="dxa"/>
                    </w:trPr>
                    <w:tc>
                      <w:tcPr>
                        <w:tcW w:w="0" w:type="auto"/>
                        <w:vAlign w:val="center"/>
                        <w:hideMark/>
                      </w:tcPr>
                      <w:p w14:paraId="01342620"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b/>
                            <w:bCs/>
                            <w:sz w:val="24"/>
                            <w:szCs w:val="24"/>
                          </w:rPr>
                          <w:t>CHSSL</w:t>
                        </w:r>
                        <w:r w:rsidRPr="00B539D7">
                          <w:rPr>
                            <w:rFonts w:ascii="Verdana" w:eastAsia="Times New Roman" w:hAnsi="Verdana" w:cs="Times New Roman"/>
                            <w:b/>
                            <w:bCs/>
                            <w:sz w:val="20"/>
                            <w:szCs w:val="20"/>
                          </w:rPr>
                          <w:t>s</w:t>
                        </w:r>
                      </w:p>
                    </w:tc>
                    <w:tc>
                      <w:tcPr>
                        <w:tcW w:w="0" w:type="auto"/>
                        <w:vAlign w:val="center"/>
                        <w:hideMark/>
                      </w:tcPr>
                      <w:p w14:paraId="48A74C47"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c>
                      <w:tcPr>
                        <w:tcW w:w="0" w:type="auto"/>
                        <w:vAlign w:val="center"/>
                        <w:hideMark/>
                      </w:tcPr>
                      <w:p w14:paraId="5526118A" w14:textId="17D73DB0" w:rsidR="00B539D7" w:rsidRPr="00B539D7" w:rsidRDefault="00B539D7" w:rsidP="00B539D7">
                        <w:pPr>
                          <w:spacing w:after="0" w:line="240" w:lineRule="auto"/>
                          <w:jc w:val="right"/>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68FA8557" wp14:editId="64E09C40">
                              <wp:extent cx="3632200" cy="3308350"/>
                              <wp:effectExtent l="0" t="0" r="6350" b="6350"/>
                              <wp:docPr id="4" name="Picture 4" descr="http://amiadini.com/NewsletterArchive/160912-NL148/envEnl-148_clip_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miadini.com/NewsletterArchive/160912-NL148/envEnl-148_clip_image01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2200" cy="3308350"/>
                                      </a:xfrm>
                                      <a:prstGeom prst="rect">
                                        <a:avLst/>
                                      </a:prstGeom>
                                      <a:noFill/>
                                      <a:ln>
                                        <a:noFill/>
                                      </a:ln>
                                    </pic:spPr>
                                  </pic:pic>
                                </a:graphicData>
                              </a:graphic>
                            </wp:inline>
                          </w:drawing>
                        </w:r>
                      </w:p>
                    </w:tc>
                  </w:tr>
                </w:tbl>
                <w:p w14:paraId="178C6718"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In CHSSLs, there are two threshold levels of concern:</w:t>
                  </w:r>
                </w:p>
                <w:p w14:paraId="005BBF24" w14:textId="77777777" w:rsidR="00B539D7" w:rsidRPr="00B539D7" w:rsidRDefault="00B539D7" w:rsidP="00B539D7">
                  <w:pPr>
                    <w:numPr>
                      <w:ilvl w:val="0"/>
                      <w:numId w:val="1"/>
                    </w:numPr>
                    <w:spacing w:before="100" w:beforeAutospacing="1" w:after="100" w:afterAutospacing="1" w:line="240" w:lineRule="auto"/>
                    <w:rPr>
                      <w:rFonts w:ascii="Verdana" w:eastAsia="Times New Roman" w:hAnsi="Verdana" w:cs="Times New Roman"/>
                      <w:sz w:val="20"/>
                      <w:szCs w:val="20"/>
                    </w:rPr>
                  </w:pPr>
                  <w:r w:rsidRPr="00B539D7">
                    <w:rPr>
                      <w:rFonts w:ascii="Verdana" w:eastAsia="Times New Roman" w:hAnsi="Verdana" w:cs="Times New Roman"/>
                      <w:sz w:val="20"/>
                      <w:szCs w:val="20"/>
                    </w:rPr>
                    <w:t>An excess lifetime cancer risk not exceeding one-in-a-million (10</w:t>
                  </w:r>
                  <w:r w:rsidRPr="00B539D7">
                    <w:rPr>
                      <w:rFonts w:ascii="Verdana" w:eastAsia="Times New Roman" w:hAnsi="Verdana" w:cs="Times New Roman"/>
                      <w:sz w:val="20"/>
                      <w:szCs w:val="20"/>
                      <w:vertAlign w:val="superscript"/>
                    </w:rPr>
                    <w:t>-6</w:t>
                  </w:r>
                  <w:r w:rsidRPr="00B539D7">
                    <w:rPr>
                      <w:rFonts w:ascii="Verdana" w:eastAsia="Times New Roman" w:hAnsi="Verdana" w:cs="Times New Roman"/>
                      <w:sz w:val="20"/>
                      <w:szCs w:val="20"/>
                    </w:rPr>
                    <w:t>), and</w:t>
                  </w:r>
                </w:p>
                <w:p w14:paraId="5AC07D20" w14:textId="77777777" w:rsidR="00B539D7" w:rsidRPr="00B539D7" w:rsidRDefault="00B539D7" w:rsidP="00B539D7">
                  <w:pPr>
                    <w:numPr>
                      <w:ilvl w:val="0"/>
                      <w:numId w:val="1"/>
                    </w:numPr>
                    <w:spacing w:before="100" w:beforeAutospacing="1" w:after="100" w:afterAutospacing="1" w:line="240" w:lineRule="auto"/>
                    <w:rPr>
                      <w:rFonts w:ascii="Verdana" w:eastAsia="Times New Roman" w:hAnsi="Verdana" w:cs="Times New Roman"/>
                      <w:sz w:val="20"/>
                      <w:szCs w:val="20"/>
                    </w:rPr>
                  </w:pPr>
                  <w:r w:rsidRPr="00B539D7">
                    <w:rPr>
                      <w:rFonts w:ascii="Verdana" w:eastAsia="Times New Roman" w:hAnsi="Verdana" w:cs="Times New Roman"/>
                      <w:sz w:val="20"/>
                      <w:szCs w:val="20"/>
                    </w:rPr>
                    <w:t>A hazard quotient (HQ) of 1.0 for non-cancer health effects.</w:t>
                  </w:r>
                </w:p>
                <w:p w14:paraId="258D258C"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Example, lead and lead compounds in soil:</w:t>
                  </w:r>
                </w:p>
                <w:p w14:paraId="32E62375" w14:textId="4045794E"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6DDA57A9" wp14:editId="5D9F3873">
                        <wp:extent cx="5181600" cy="3429000"/>
                        <wp:effectExtent l="0" t="0" r="0" b="0"/>
                        <wp:docPr id="3" name="Picture 3" descr="http://amiadini.com/NewsletterArchive/160912-NL148/envEnl-148_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miadini.com/NewsletterArchive/160912-NL148/envEnl-148_clip_image0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81600" cy="3429000"/>
                                </a:xfrm>
                                <a:prstGeom prst="rect">
                                  <a:avLst/>
                                </a:prstGeom>
                                <a:noFill/>
                                <a:ln>
                                  <a:noFill/>
                                </a:ln>
                              </pic:spPr>
                            </pic:pic>
                          </a:graphicData>
                        </a:graphic>
                      </wp:inline>
                    </w:drawing>
                  </w:r>
                </w:p>
                <w:p w14:paraId="41EB10CD"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15"/>
                      <w:szCs w:val="15"/>
                    </w:rPr>
                    <w:t>© University of Minnesota Extension (</w:t>
                  </w:r>
                  <w:hyperlink r:id="rId22" w:tgtFrame="_blank" w:history="1">
                    <w:r w:rsidRPr="00B539D7">
                      <w:rPr>
                        <w:rFonts w:ascii="Verdana" w:eastAsia="Times New Roman" w:hAnsi="Verdana" w:cs="Times New Roman"/>
                        <w:color w:val="0000FF"/>
                        <w:sz w:val="15"/>
                        <w:szCs w:val="15"/>
                        <w:u w:val="single"/>
                      </w:rPr>
                      <w:t>http://www.extension.umn.edu/garden/yard-garden/soils/lead-in-home-garden/</w:t>
                    </w:r>
                  </w:hyperlink>
                  <w:r w:rsidRPr="00B539D7">
                    <w:rPr>
                      <w:rFonts w:ascii="Verdana" w:eastAsia="Times New Roman" w:hAnsi="Verdana" w:cs="Times New Roman"/>
                      <w:sz w:val="15"/>
                      <w:szCs w:val="15"/>
                    </w:rPr>
                    <w:t>)</w:t>
                  </w:r>
                </w:p>
                <w:p w14:paraId="71F06562" w14:textId="77777777" w:rsidR="00B539D7" w:rsidRPr="00B539D7" w:rsidRDefault="00B539D7" w:rsidP="00B539D7">
                  <w:pPr>
                    <w:numPr>
                      <w:ilvl w:val="0"/>
                      <w:numId w:val="2"/>
                    </w:numPr>
                    <w:spacing w:before="100" w:beforeAutospacing="1" w:after="100" w:afterAutospacing="1" w:line="240" w:lineRule="auto"/>
                    <w:rPr>
                      <w:rFonts w:ascii="Verdana" w:eastAsia="Times New Roman" w:hAnsi="Verdana" w:cs="Times New Roman"/>
                      <w:sz w:val="20"/>
                      <w:szCs w:val="20"/>
                    </w:rPr>
                  </w:pPr>
                  <w:r w:rsidRPr="00B539D7">
                    <w:rPr>
                      <w:rFonts w:ascii="Verdana" w:eastAsia="Times New Roman" w:hAnsi="Verdana" w:cs="Times New Roman"/>
                      <w:sz w:val="20"/>
                      <w:szCs w:val="20"/>
                    </w:rPr>
                    <w:t>In residential scenarios, the CHSSL is 80 milligrams in 1 kilogram of soil (mg/kg).</w:t>
                  </w:r>
                </w:p>
                <w:p w14:paraId="2E6E436F" w14:textId="77777777" w:rsidR="00B539D7" w:rsidRPr="00B539D7" w:rsidRDefault="00B539D7" w:rsidP="00B539D7">
                  <w:pPr>
                    <w:numPr>
                      <w:ilvl w:val="0"/>
                      <w:numId w:val="2"/>
                    </w:numPr>
                    <w:spacing w:before="100" w:beforeAutospacing="1" w:after="100" w:afterAutospacing="1" w:line="240" w:lineRule="auto"/>
                    <w:rPr>
                      <w:rFonts w:ascii="Verdana" w:eastAsia="Times New Roman" w:hAnsi="Verdana" w:cs="Times New Roman"/>
                      <w:sz w:val="20"/>
                      <w:szCs w:val="20"/>
                    </w:rPr>
                  </w:pPr>
                  <w:r w:rsidRPr="00B539D7">
                    <w:rPr>
                      <w:rFonts w:ascii="Verdana" w:eastAsia="Times New Roman" w:hAnsi="Verdana" w:cs="Times New Roman"/>
                      <w:sz w:val="20"/>
                      <w:szCs w:val="20"/>
                    </w:rPr>
                    <w:t>In commercial or industrial scenarios, this number is 320 mg/kg.</w:t>
                  </w:r>
                </w:p>
                <w:p w14:paraId="571DC347"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 xml:space="preserve">Example, vapors of tetrachloroethylene (also known as PCE OR PERC, a carcinogenic </w:t>
                  </w:r>
                  <w:proofErr w:type="gramStart"/>
                  <w:r w:rsidRPr="00B539D7">
                    <w:rPr>
                      <w:rFonts w:ascii="Verdana" w:eastAsia="Times New Roman" w:hAnsi="Verdana" w:cs="Times New Roman"/>
                      <w:sz w:val="20"/>
                      <w:szCs w:val="20"/>
                    </w:rPr>
                    <w:t>dry cleaning</w:t>
                  </w:r>
                  <w:proofErr w:type="gramEnd"/>
                  <w:r w:rsidRPr="00B539D7">
                    <w:rPr>
                      <w:rFonts w:ascii="Verdana" w:eastAsia="Times New Roman" w:hAnsi="Verdana" w:cs="Times New Roman"/>
                      <w:sz w:val="20"/>
                      <w:szCs w:val="20"/>
                    </w:rPr>
                    <w:t xml:space="preserve"> solvent) in soil below buildings constructed without engineered fill:</w:t>
                  </w:r>
                </w:p>
                <w:p w14:paraId="2BD95F59" w14:textId="1AB83002"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6C61CE4D" wp14:editId="49674B15">
                        <wp:extent cx="5283200" cy="3454400"/>
                        <wp:effectExtent l="0" t="0" r="0" b="0"/>
                        <wp:docPr id="2" name="Picture 2" descr="http://amiadini.com/NewsletterArchive/160912-NL148/envEnl-148_clip_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miadini.com/NewsletterArchive/160912-NL148/envEnl-148_clip_image013.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83200" cy="3454400"/>
                                </a:xfrm>
                                <a:prstGeom prst="rect">
                                  <a:avLst/>
                                </a:prstGeom>
                                <a:noFill/>
                                <a:ln>
                                  <a:noFill/>
                                </a:ln>
                              </pic:spPr>
                            </pic:pic>
                          </a:graphicData>
                        </a:graphic>
                      </wp:inline>
                    </w:drawing>
                  </w:r>
                </w:p>
                <w:p w14:paraId="4D2BAA08" w14:textId="77777777" w:rsidR="00B539D7" w:rsidRPr="00B539D7" w:rsidRDefault="00B539D7" w:rsidP="00B53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In residential scenarios, the CHSSL is 0.18 micrograms in 1 liter of soil vapor (0.18µg/l).</w:t>
                  </w:r>
                </w:p>
                <w:p w14:paraId="1F26C070" w14:textId="77777777" w:rsidR="00B539D7" w:rsidRPr="00B539D7" w:rsidRDefault="00B539D7" w:rsidP="00B53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In commercial or industrial scenarios, this number is 0.60µg/l.</w:t>
                  </w:r>
                </w:p>
                <w:p w14:paraId="2CB13FC3"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Under most circumstances, the presence of a chemical in soil, soil gas or indoor air at concentrations below the corresponding CHHSLs can be assumed to not pose a significant health risk to people who may live (residential CHHSLs) or work (commercial/industrial CHHSLs) at the site.</w:t>
                  </w:r>
                </w:p>
                <w:p w14:paraId="26E7E2B9"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 xml:space="preserve">The presence of a chemical at concentrations </w:t>
                  </w:r>
                  <w:proofErr w:type="gramStart"/>
                  <w:r w:rsidRPr="00B539D7">
                    <w:rPr>
                      <w:rFonts w:ascii="Verdana" w:eastAsia="Times New Roman" w:hAnsi="Verdana" w:cs="Times New Roman"/>
                      <w:sz w:val="20"/>
                      <w:szCs w:val="20"/>
                    </w:rPr>
                    <w:t>in excess of</w:t>
                  </w:r>
                  <w:proofErr w:type="gramEnd"/>
                  <w:r w:rsidRPr="00B539D7">
                    <w:rPr>
                      <w:rFonts w:ascii="Verdana" w:eastAsia="Times New Roman" w:hAnsi="Verdana" w:cs="Times New Roman"/>
                      <w:sz w:val="20"/>
                      <w:szCs w:val="20"/>
                    </w:rPr>
                    <w:t xml:space="preserve"> a CHHSL does not indicate that adverse impacts to human health are occurring or will occur but suggests that further evaluation of potential human health concerns is warranted.</w:t>
                  </w:r>
                </w:p>
                <w:p w14:paraId="28F1A69B"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The CHHSLs are NOT regulatory "cleanup standards". Use of the CHHSLs is voluntary on the part of those who choose to use them.</w:t>
                  </w:r>
                </w:p>
                <w:p w14:paraId="59914227"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At sites where cleanup of contaminated soils to levels at or below the CHHSLs would be costly, the time and effort to develop more site-specific cleanup may be desired.</w:t>
                  </w:r>
                </w:p>
                <w:p w14:paraId="34A3B4B3" w14:textId="519F437D"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Times New Roman" w:eastAsia="Times New Roman" w:hAnsi="Times New Roman" w:cs="Times New Roman"/>
                      <w:noProof/>
                      <w:sz w:val="24"/>
                      <w:szCs w:val="24"/>
                    </w:rPr>
                    <w:drawing>
                      <wp:inline distT="0" distB="0" distL="0" distR="0" wp14:anchorId="7F344CFD" wp14:editId="47E259E3">
                        <wp:extent cx="5429250" cy="2768600"/>
                        <wp:effectExtent l="0" t="0" r="0" b="0"/>
                        <wp:docPr id="1" name="Picture 1" descr="http://amiadini.com/NewsletterArchive/160912-NL148/envEnl-148_clip_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miadini.com/NewsletterArchive/160912-NL148/envEnl-148_clip_image014.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29250" cy="2768600"/>
                                </a:xfrm>
                                <a:prstGeom prst="rect">
                                  <a:avLst/>
                                </a:prstGeom>
                                <a:noFill/>
                                <a:ln>
                                  <a:noFill/>
                                </a:ln>
                              </pic:spPr>
                            </pic:pic>
                          </a:graphicData>
                        </a:graphic>
                      </wp:inline>
                    </w:drawing>
                  </w:r>
                </w:p>
                <w:p w14:paraId="07580B66"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At sites where the extent of contaminated soil is limited or the timeframe available to carry out cleanup actions is very short, use of the CHHSLs as final soil cleanup standards may be cost-beneficial.</w:t>
                  </w:r>
                </w:p>
                <w:p w14:paraId="57BA0FC3"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Times New Roman" w:eastAsia="Times New Roman" w:hAnsi="Times New Roman" w:cs="Times New Roman"/>
                      <w:sz w:val="24"/>
                      <w:szCs w:val="24"/>
                    </w:rPr>
                    <w:t> </w:t>
                  </w:r>
                </w:p>
              </w:tc>
            </w:tr>
            <w:tr w:rsidR="00B539D7" w:rsidRPr="00B539D7" w14:paraId="04E5FC02"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264A2123" w14:textId="77777777" w:rsidR="00B539D7" w:rsidRPr="00B539D7" w:rsidRDefault="00B539D7" w:rsidP="00B539D7">
                  <w:pPr>
                    <w:spacing w:before="100" w:beforeAutospacing="1" w:after="100" w:afterAutospacing="1" w:line="240" w:lineRule="auto"/>
                    <w:rPr>
                      <w:rFonts w:ascii="Times New Roman" w:eastAsia="Times New Roman" w:hAnsi="Times New Roman" w:cs="Times New Roman"/>
                      <w:sz w:val="24"/>
                      <w:szCs w:val="24"/>
                    </w:rPr>
                  </w:pPr>
                  <w:r w:rsidRPr="00B539D7">
                    <w:rPr>
                      <w:rFonts w:ascii="Verdana" w:eastAsia="Times New Roman" w:hAnsi="Verdana" w:cs="Times New Roman"/>
                      <w:sz w:val="20"/>
                      <w:szCs w:val="20"/>
                    </w:rPr>
                    <w:t>You can find past issues of our "Environmental Enlightenment" at </w:t>
                  </w:r>
                  <w:hyperlink r:id="rId25" w:history="1">
                    <w:r w:rsidRPr="00B539D7">
                      <w:rPr>
                        <w:rFonts w:ascii="Verdana" w:eastAsia="Times New Roman" w:hAnsi="Verdana" w:cs="Times New Roman"/>
                        <w:color w:val="0000FF"/>
                        <w:sz w:val="20"/>
                        <w:szCs w:val="20"/>
                        <w:u w:val="single"/>
                      </w:rPr>
                      <w:t>amiadini.com</w:t>
                    </w:r>
                  </w:hyperlink>
                  <w:r w:rsidRPr="00B539D7">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0601865D" w14:textId="77777777" w:rsidR="00B539D7" w:rsidRPr="00B539D7" w:rsidRDefault="00B539D7" w:rsidP="00B539D7">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B539D7" w:rsidRPr="00B539D7" w14:paraId="227F125F" w14:textId="77777777">
              <w:trPr>
                <w:tblCellSpacing w:w="0" w:type="dxa"/>
                <w:jc w:val="center"/>
              </w:trPr>
              <w:tc>
                <w:tcPr>
                  <w:tcW w:w="0" w:type="auto"/>
                  <w:vAlign w:val="center"/>
                  <w:hideMark/>
                </w:tcPr>
                <w:p w14:paraId="038C42A7"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r w:rsidRPr="00B539D7">
                    <w:rPr>
                      <w:rFonts w:ascii="Verdana" w:eastAsia="Times New Roman" w:hAnsi="Verdana" w:cs="Times New Roman"/>
                      <w:sz w:val="20"/>
                      <w:szCs w:val="20"/>
                    </w:rPr>
                    <w:t>Call me if you have any questions. There are </w:t>
                  </w:r>
                  <w:r w:rsidRPr="00B539D7">
                    <w:rPr>
                      <w:rFonts w:ascii="Verdana" w:eastAsia="Times New Roman" w:hAnsi="Verdana" w:cs="Times New Roman"/>
                      <w:b/>
                      <w:bCs/>
                      <w:sz w:val="20"/>
                      <w:szCs w:val="20"/>
                    </w:rPr>
                    <w:t>no obligations.</w:t>
                  </w:r>
                  <w:r w:rsidRPr="00B539D7">
                    <w:rPr>
                      <w:rFonts w:ascii="Verdana" w:eastAsia="Times New Roman" w:hAnsi="Verdana" w:cs="Times New Roman"/>
                      <w:sz w:val="20"/>
                      <w:szCs w:val="20"/>
                    </w:rPr>
                    <w:br/>
                  </w:r>
                  <w:r w:rsidRPr="00B539D7">
                    <w:rPr>
                      <w:rFonts w:ascii="Verdana" w:eastAsia="Times New Roman" w:hAnsi="Verdana" w:cs="Times New Roman"/>
                      <w:sz w:val="20"/>
                      <w:szCs w:val="20"/>
                    </w:rPr>
                    <w:br/>
                    <w:t xml:space="preserve">Ami </w:t>
                  </w:r>
                  <w:proofErr w:type="spellStart"/>
                  <w:r w:rsidRPr="00B539D7">
                    <w:rPr>
                      <w:rFonts w:ascii="Verdana" w:eastAsia="Times New Roman" w:hAnsi="Verdana" w:cs="Times New Roman"/>
                      <w:sz w:val="20"/>
                      <w:szCs w:val="20"/>
                    </w:rPr>
                    <w:t>Adini</w:t>
                  </w:r>
                  <w:proofErr w:type="spellEnd"/>
                  <w:r w:rsidRPr="00B539D7">
                    <w:rPr>
                      <w:rFonts w:ascii="Verdana" w:eastAsia="Times New Roman" w:hAnsi="Verdana" w:cs="Times New Roman"/>
                      <w:sz w:val="20"/>
                      <w:szCs w:val="20"/>
                    </w:rPr>
                    <w:t xml:space="preserve"> Environmental Services, Inc.</w:t>
                  </w:r>
                  <w:r w:rsidRPr="00B539D7">
                    <w:rPr>
                      <w:rFonts w:ascii="Verdana" w:eastAsia="Times New Roman" w:hAnsi="Verdana" w:cs="Times New Roman"/>
                      <w:sz w:val="20"/>
                      <w:szCs w:val="20"/>
                    </w:rPr>
                    <w:br/>
                    <w:t>Environmental Consultants &amp; General Engineering Contractors</w:t>
                  </w:r>
                  <w:r w:rsidRPr="00B539D7">
                    <w:rPr>
                      <w:rFonts w:ascii="Verdana" w:eastAsia="Times New Roman" w:hAnsi="Verdana" w:cs="Times New Roman"/>
                      <w:sz w:val="20"/>
                      <w:szCs w:val="20"/>
                    </w:rPr>
                    <w:br/>
                    <w:t xml:space="preserve">California </w:t>
                  </w:r>
                  <w:proofErr w:type="spellStart"/>
                  <w:r w:rsidRPr="00B539D7">
                    <w:rPr>
                      <w:rFonts w:ascii="Verdana" w:eastAsia="Times New Roman" w:hAnsi="Verdana" w:cs="Times New Roman"/>
                      <w:sz w:val="20"/>
                      <w:szCs w:val="20"/>
                    </w:rPr>
                    <w:t>Lic</w:t>
                  </w:r>
                  <w:proofErr w:type="spellEnd"/>
                  <w:r w:rsidRPr="00B539D7">
                    <w:rPr>
                      <w:rFonts w:ascii="Verdana" w:eastAsia="Times New Roman" w:hAnsi="Verdana" w:cs="Times New Roman"/>
                      <w:sz w:val="20"/>
                      <w:szCs w:val="20"/>
                    </w:rPr>
                    <w:t>. #1009513 A B HAZ ASB</w:t>
                  </w:r>
                  <w:r w:rsidRPr="00B539D7">
                    <w:rPr>
                      <w:rFonts w:ascii="Verdana" w:eastAsia="Times New Roman" w:hAnsi="Verdana" w:cs="Times New Roman"/>
                      <w:sz w:val="20"/>
                      <w:szCs w:val="20"/>
                    </w:rPr>
                    <w:br/>
                  </w:r>
                  <w:r w:rsidRPr="00B539D7">
                    <w:rPr>
                      <w:rFonts w:ascii="Verdana" w:eastAsia="Times New Roman" w:hAnsi="Verdana" w:cs="Times New Roman"/>
                      <w:b/>
                      <w:bCs/>
                      <w:sz w:val="20"/>
                      <w:szCs w:val="20"/>
                    </w:rPr>
                    <w:t>818-824-8102</w:t>
                  </w:r>
                  <w:r w:rsidRPr="00B539D7">
                    <w:rPr>
                      <w:rFonts w:ascii="Verdana" w:eastAsia="Times New Roman" w:hAnsi="Verdana" w:cs="Times New Roman"/>
                      <w:sz w:val="20"/>
                      <w:szCs w:val="20"/>
                    </w:rPr>
                    <w:t>; </w:t>
                  </w:r>
                  <w:hyperlink r:id="rId26" w:history="1">
                    <w:r w:rsidRPr="00B539D7">
                      <w:rPr>
                        <w:rFonts w:ascii="Verdana" w:eastAsia="Times New Roman" w:hAnsi="Verdana" w:cs="Times New Roman"/>
                        <w:b/>
                        <w:bCs/>
                        <w:color w:val="0000FF"/>
                        <w:sz w:val="20"/>
                        <w:szCs w:val="20"/>
                        <w:u w:val="single"/>
                      </w:rPr>
                      <w:t>mail@amiadini.com</w:t>
                    </w:r>
                  </w:hyperlink>
                  <w:r w:rsidRPr="00B539D7">
                    <w:rPr>
                      <w:rFonts w:ascii="Verdana" w:eastAsia="Times New Roman" w:hAnsi="Verdana" w:cs="Times New Roman"/>
                      <w:sz w:val="20"/>
                      <w:szCs w:val="20"/>
                    </w:rPr>
                    <w:br/>
                  </w:r>
                  <w:hyperlink r:id="rId27" w:tgtFrame="_blank" w:history="1">
                    <w:r w:rsidRPr="00B539D7">
                      <w:rPr>
                        <w:rFonts w:ascii="Verdana" w:eastAsia="Times New Roman" w:hAnsi="Verdana" w:cs="Times New Roman"/>
                        <w:color w:val="0000FF"/>
                        <w:sz w:val="20"/>
                        <w:szCs w:val="20"/>
                        <w:u w:val="single"/>
                      </w:rPr>
                      <w:t>www.amiadini.com</w:t>
                    </w:r>
                  </w:hyperlink>
                </w:p>
                <w:p w14:paraId="36E5C23B" w14:textId="77777777" w:rsidR="00B539D7" w:rsidRPr="00B539D7" w:rsidRDefault="00B539D7" w:rsidP="00B539D7">
                  <w:pPr>
                    <w:spacing w:after="0" w:line="240" w:lineRule="auto"/>
                    <w:rPr>
                      <w:rFonts w:ascii="Times New Roman" w:eastAsia="Times New Roman" w:hAnsi="Times New Roman" w:cs="Times New Roman"/>
                      <w:sz w:val="24"/>
                      <w:szCs w:val="24"/>
                    </w:rPr>
                  </w:pPr>
                  <w:r w:rsidRPr="00B539D7">
                    <w:rPr>
                      <w:rFonts w:ascii="Verdana" w:eastAsia="Times New Roman" w:hAnsi="Verdana" w:cs="Times New Roman"/>
                      <w:sz w:val="15"/>
                      <w:szCs w:val="15"/>
                    </w:rPr>
                    <w:t xml:space="preserve">Ami </w:t>
                  </w:r>
                  <w:proofErr w:type="spellStart"/>
                  <w:r w:rsidRPr="00B539D7">
                    <w:rPr>
                      <w:rFonts w:ascii="Verdana" w:eastAsia="Times New Roman" w:hAnsi="Verdana" w:cs="Times New Roman"/>
                      <w:sz w:val="15"/>
                      <w:szCs w:val="15"/>
                    </w:rPr>
                    <w:t>Adini</w:t>
                  </w:r>
                  <w:proofErr w:type="spellEnd"/>
                  <w:r w:rsidRPr="00B539D7">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B539D7">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p w14:paraId="275928CD" w14:textId="77777777" w:rsidR="00B539D7" w:rsidRPr="00B539D7" w:rsidRDefault="00B539D7" w:rsidP="00B539D7">
                  <w:pPr>
                    <w:spacing w:before="100" w:beforeAutospacing="1" w:after="100" w:afterAutospacing="1" w:line="240" w:lineRule="auto"/>
                    <w:jc w:val="center"/>
                    <w:rPr>
                      <w:rFonts w:ascii="Times New Roman" w:eastAsia="Times New Roman" w:hAnsi="Times New Roman" w:cs="Times New Roman"/>
                      <w:sz w:val="24"/>
                      <w:szCs w:val="24"/>
                    </w:rPr>
                  </w:pPr>
                </w:p>
              </w:tc>
            </w:tr>
          </w:tbl>
          <w:p w14:paraId="7FF08E70" w14:textId="77777777" w:rsidR="00B539D7" w:rsidRPr="00B539D7" w:rsidRDefault="00B539D7" w:rsidP="00B539D7">
            <w:pPr>
              <w:spacing w:after="0" w:line="240" w:lineRule="auto"/>
              <w:jc w:val="center"/>
              <w:rPr>
                <w:rFonts w:ascii="Times New Roman" w:eastAsia="Times New Roman" w:hAnsi="Times New Roman" w:cs="Times New Roman"/>
                <w:sz w:val="24"/>
                <w:szCs w:val="24"/>
              </w:rPr>
            </w:pPr>
          </w:p>
        </w:tc>
      </w:tr>
    </w:tbl>
    <w:p w14:paraId="2CD99413" w14:textId="580BEB91" w:rsidR="007F7D7C" w:rsidRPr="00B539D7" w:rsidRDefault="007F7D7C" w:rsidP="00B539D7">
      <w:bookmarkStart w:id="0" w:name="_GoBack"/>
      <w:bookmarkEnd w:id="0"/>
    </w:p>
    <w:sectPr w:rsidR="007F7D7C" w:rsidRPr="00B53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42B9"/>
    <w:multiLevelType w:val="multilevel"/>
    <w:tmpl w:val="098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51395"/>
    <w:multiLevelType w:val="multilevel"/>
    <w:tmpl w:val="F924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31EF3"/>
    <w:multiLevelType w:val="multilevel"/>
    <w:tmpl w:val="07E43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9D7"/>
    <w:rsid w:val="0055002E"/>
    <w:rsid w:val="007F7D7C"/>
    <w:rsid w:val="00B5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26A1"/>
  <w15:chartTrackingRefBased/>
  <w15:docId w15:val="{8105A10D-C072-461F-95FE-40F7601A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539D7"/>
    <w:rPr>
      <w:b/>
      <w:bCs/>
    </w:rPr>
  </w:style>
  <w:style w:type="paragraph" w:styleId="NormalWeb">
    <w:name w:val="Normal (Web)"/>
    <w:basedOn w:val="Normal"/>
    <w:uiPriority w:val="99"/>
    <w:semiHidden/>
    <w:unhideWhenUsed/>
    <w:rsid w:val="00B539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lepa.ca.gov/" TargetMode="External"/><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yperlink" Target="mailto:mail@amiadini.com" TargetMode="Externa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www.amiadini.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ehha.ca.gov/" TargetMode="External"/><Relationship Id="rId11" Type="http://schemas.openxmlformats.org/officeDocument/2006/relationships/image" Target="media/image5.jpeg"/><Relationship Id="rId24" Type="http://schemas.openxmlformats.org/officeDocument/2006/relationships/image" Target="media/image15.jpeg"/><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oehha.ca.gov/risk-assessment/california-human-health-screening-levels-chhsl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epa.gov/vaporintrusion/what-vapor-intrusion" TargetMode="External"/><Relationship Id="rId22" Type="http://schemas.openxmlformats.org/officeDocument/2006/relationships/hyperlink" Target="http://www.extension.umn.edu/garden/yard-garden/soils/lead-in-home-garden/" TargetMode="External"/><Relationship Id="rId27"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2018-10-05T05:42:00Z</dcterms:created>
  <dcterms:modified xsi:type="dcterms:W3CDTF">2018-10-05T06:13:00Z</dcterms:modified>
</cp:coreProperties>
</file>