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781"/>
      </w:tblGrid>
      <w:tr w:rsidR="00BC6E08" w:rsidRPr="00BC6E08" w14:paraId="20EAFC23" w14:textId="77777777" w:rsidTr="00BC6E08">
        <w:trPr>
          <w:tblCellSpacing w:w="0" w:type="dxa"/>
        </w:trPr>
        <w:tc>
          <w:tcPr>
            <w:tcW w:w="9750" w:type="dxa"/>
            <w:tcBorders>
              <w:top w:val="outset" w:sz="6" w:space="0" w:color="006600"/>
              <w:left w:val="outset" w:sz="6" w:space="0" w:color="006600"/>
              <w:bottom w:val="outset" w:sz="6" w:space="0" w:color="006600"/>
              <w:right w:val="outset" w:sz="6" w:space="0" w:color="006600"/>
            </w:tcBorders>
            <w:shd w:val="clear" w:color="auto" w:fill="FFFFFF"/>
            <w:hideMark/>
          </w:tcPr>
          <w:p w14:paraId="74EF71BB" w14:textId="733E8670" w:rsidR="00BC6E08" w:rsidRPr="00BC6E08" w:rsidRDefault="00BC6E08" w:rsidP="00BC6E08">
            <w:pPr>
              <w:spacing w:after="0" w:line="240" w:lineRule="auto"/>
              <w:jc w:val="center"/>
              <w:rPr>
                <w:rFonts w:ascii="Times New Roman" w:eastAsia="Times New Roman" w:hAnsi="Times New Roman" w:cs="Times New Roman"/>
                <w:color w:val="000000"/>
                <w:sz w:val="27"/>
                <w:szCs w:val="27"/>
              </w:rPr>
            </w:pPr>
            <w:r w:rsidRPr="00BC6E08">
              <w:rPr>
                <w:rFonts w:ascii="Times New Roman" w:eastAsia="Times New Roman" w:hAnsi="Times New Roman" w:cs="Times New Roman"/>
                <w:noProof/>
                <w:color w:val="000000"/>
                <w:sz w:val="27"/>
                <w:szCs w:val="27"/>
              </w:rPr>
              <w:drawing>
                <wp:inline distT="0" distB="0" distL="0" distR="0" wp14:anchorId="5FD6CA39" wp14:editId="792DF5E0">
                  <wp:extent cx="6191250" cy="787400"/>
                  <wp:effectExtent l="0" t="0" r="0" b="0"/>
                  <wp:docPr id="7" name="Picture 7"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BC6E08" w:rsidRPr="00BC6E08" w14:paraId="0D21F90A" w14:textId="77777777" w:rsidTr="00BC6E08">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71D77F16" w14:textId="77777777" w:rsidR="00BC6E08" w:rsidRPr="00BC6E08" w:rsidRDefault="00BC6E08" w:rsidP="00BC6E0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C6E08">
              <w:rPr>
                <w:rFonts w:ascii="Verdana" w:eastAsia="Times New Roman" w:hAnsi="Verdana" w:cs="Times New Roman"/>
                <w:color w:val="000000"/>
                <w:sz w:val="20"/>
                <w:szCs w:val="20"/>
              </w:rPr>
              <w:br/>
            </w:r>
            <w:r w:rsidRPr="00BC6E08">
              <w:rPr>
                <w:rFonts w:ascii="Verdana" w:eastAsia="Times New Roman" w:hAnsi="Verdana" w:cs="Times New Roman"/>
                <w:b/>
                <w:bCs/>
                <w:color w:val="000000"/>
                <w:sz w:val="20"/>
                <w:szCs w:val="20"/>
              </w:rPr>
              <w:t>Environmental Enlightenment #195</w:t>
            </w:r>
            <w:r w:rsidRPr="00BC6E08">
              <w:rPr>
                <w:rFonts w:ascii="Verdana" w:eastAsia="Times New Roman" w:hAnsi="Verdana" w:cs="Times New Roman"/>
                <w:color w:val="000000"/>
                <w:sz w:val="20"/>
                <w:szCs w:val="20"/>
              </w:rPr>
              <w:br/>
              <w:t xml:space="preserve">By Ami </w:t>
            </w:r>
            <w:proofErr w:type="spellStart"/>
            <w:r w:rsidRPr="00BC6E08">
              <w:rPr>
                <w:rFonts w:ascii="Verdana" w:eastAsia="Times New Roman" w:hAnsi="Verdana" w:cs="Times New Roman"/>
                <w:color w:val="000000"/>
                <w:sz w:val="20"/>
                <w:szCs w:val="20"/>
              </w:rPr>
              <w:t>Adini</w:t>
            </w:r>
            <w:proofErr w:type="spellEnd"/>
            <w:r w:rsidRPr="00BC6E08">
              <w:rPr>
                <w:rFonts w:ascii="Verdana" w:eastAsia="Times New Roman" w:hAnsi="Verdana" w:cs="Times New Roman"/>
                <w:color w:val="000000"/>
                <w:sz w:val="20"/>
                <w:szCs w:val="20"/>
              </w:rPr>
              <w:t xml:space="preserve"> - February 3, 2012</w:t>
            </w:r>
          </w:p>
          <w:tbl>
            <w:tblPr>
              <w:tblW w:w="966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660"/>
            </w:tblGrid>
            <w:tr w:rsidR="00BC6E08" w:rsidRPr="00BC6E08" w14:paraId="170CC530" w14:textId="77777777">
              <w:trPr>
                <w:trHeight w:val="456"/>
                <w:tblCellSpacing w:w="0" w:type="dxa"/>
                <w:jc w:val="center"/>
              </w:trPr>
              <w:tc>
                <w:tcPr>
                  <w:tcW w:w="9300" w:type="dxa"/>
                  <w:tcBorders>
                    <w:top w:val="outset" w:sz="6" w:space="0" w:color="006633"/>
                    <w:left w:val="outset" w:sz="6" w:space="0" w:color="006633"/>
                    <w:bottom w:val="outset" w:sz="6" w:space="0" w:color="006633"/>
                    <w:right w:val="outset" w:sz="6" w:space="0" w:color="006633"/>
                  </w:tcBorders>
                  <w:vAlign w:val="center"/>
                  <w:hideMark/>
                </w:tcPr>
                <w:p w14:paraId="73336DEB" w14:textId="77777777"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BC6E08">
                    <w:rPr>
                      <w:rFonts w:ascii="Verdana" w:eastAsia="Times New Roman" w:hAnsi="Verdana" w:cs="Times New Roman"/>
                      <w:sz w:val="20"/>
                      <w:szCs w:val="20"/>
                    </w:rPr>
                    <w:t>learned, and</w:t>
                  </w:r>
                  <w:proofErr w:type="gramEnd"/>
                  <w:r w:rsidRPr="00BC6E08">
                    <w:rPr>
                      <w:rFonts w:ascii="Verdana" w:eastAsia="Times New Roman" w:hAnsi="Verdana" w:cs="Times New Roman"/>
                      <w:sz w:val="20"/>
                      <w:szCs w:val="20"/>
                    </w:rPr>
                    <w:t xml:space="preserve"> enlighten the uninitiated on terms they may have heard but never known the meaning of.</w:t>
                  </w:r>
                </w:p>
              </w:tc>
            </w:tr>
            <w:tr w:rsidR="00BC6E08" w:rsidRPr="00BC6E08" w14:paraId="1696B0FB"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FF57CCE" w14:textId="77777777" w:rsidR="00BC6E08" w:rsidRPr="00BC6E08" w:rsidRDefault="00BC6E08" w:rsidP="00BC6E08">
                  <w:pPr>
                    <w:spacing w:before="100" w:beforeAutospacing="1" w:after="100" w:afterAutospacing="1" w:line="240" w:lineRule="auto"/>
                    <w:jc w:val="center"/>
                    <w:rPr>
                      <w:rFonts w:ascii="Times New Roman" w:eastAsia="Times New Roman" w:hAnsi="Times New Roman" w:cs="Times New Roman"/>
                      <w:sz w:val="24"/>
                      <w:szCs w:val="24"/>
                    </w:rPr>
                  </w:pPr>
                  <w:r w:rsidRPr="00BC6E08">
                    <w:rPr>
                      <w:rFonts w:ascii="Arial" w:eastAsia="Times New Roman" w:hAnsi="Arial" w:cs="Arial"/>
                      <w:b/>
                      <w:bCs/>
                      <w:color w:val="006600"/>
                      <w:sz w:val="24"/>
                      <w:szCs w:val="24"/>
                    </w:rPr>
                    <w:t>Taking open-ended contamination cases to CLOSURE</w:t>
                  </w:r>
                </w:p>
                <w:p w14:paraId="67C1D7C8" w14:textId="77777777"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The cleanup of leaking underground storage tank (UST) sites is a multidisciplinary task involving the responsible party, environmental consultant, regulators of various agencies, and the California Underground Storage Tank Cleanup Fund (which reimburses eligible claimants for the cleanup expense).</w:t>
                  </w:r>
                </w:p>
                <w:p w14:paraId="127FF18B" w14:textId="42A433F4" w:rsidR="00BC6E08" w:rsidRPr="00BC6E08" w:rsidRDefault="00BC6E08" w:rsidP="00BC6E08">
                  <w:pPr>
                    <w:spacing w:before="100" w:beforeAutospacing="1" w:after="100" w:afterAutospacing="1" w:line="240" w:lineRule="auto"/>
                    <w:jc w:val="center"/>
                    <w:rPr>
                      <w:rFonts w:ascii="Times New Roman" w:eastAsia="Times New Roman" w:hAnsi="Times New Roman" w:cs="Times New Roman"/>
                      <w:sz w:val="24"/>
                      <w:szCs w:val="24"/>
                    </w:rPr>
                  </w:pPr>
                  <w:r w:rsidRPr="00BC6E08">
                    <w:rPr>
                      <w:rFonts w:ascii="Verdana" w:eastAsia="Times New Roman" w:hAnsi="Verdana" w:cs="Times New Roman"/>
                      <w:noProof/>
                      <w:sz w:val="20"/>
                      <w:szCs w:val="20"/>
                    </w:rPr>
                    <w:drawing>
                      <wp:inline distT="0" distB="0" distL="0" distR="0" wp14:anchorId="4E18E86A" wp14:editId="7FE656FD">
                        <wp:extent cx="4572000" cy="3009900"/>
                        <wp:effectExtent l="0" t="0" r="0" b="0"/>
                        <wp:docPr id="6" name="Picture 6" descr="http://amiadini.com/NewsletterArchive/120203-NL195NL/envEnl-195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20203-NL195NL/envEnl-195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099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7005"/>
                    <w:gridCol w:w="2445"/>
                    <w:gridCol w:w="60"/>
                  </w:tblGrid>
                  <w:tr w:rsidR="00BC6E08" w:rsidRPr="00BC6E08" w14:paraId="70A0BA4E" w14:textId="77777777">
                    <w:trPr>
                      <w:tblCellSpacing w:w="0" w:type="dxa"/>
                    </w:trPr>
                    <w:tc>
                      <w:tcPr>
                        <w:tcW w:w="0" w:type="auto"/>
                        <w:vAlign w:val="center"/>
                        <w:hideMark/>
                      </w:tcPr>
                      <w:p w14:paraId="51622BD3" w14:textId="77777777" w:rsidR="00BC6E08" w:rsidRPr="00BC6E08" w:rsidRDefault="00BC6E08" w:rsidP="00BC6E08">
                        <w:pPr>
                          <w:spacing w:after="0" w:line="240" w:lineRule="auto"/>
                          <w:rPr>
                            <w:rFonts w:ascii="Times New Roman" w:eastAsia="Times New Roman" w:hAnsi="Times New Roman" w:cs="Times New Roman"/>
                            <w:sz w:val="24"/>
                            <w:szCs w:val="24"/>
                          </w:rPr>
                        </w:pPr>
                        <w:proofErr w:type="gramStart"/>
                        <w:r w:rsidRPr="00BC6E08">
                          <w:rPr>
                            <w:rFonts w:ascii="Verdana" w:eastAsia="Times New Roman" w:hAnsi="Verdana" w:cs="Times New Roman"/>
                            <w:sz w:val="20"/>
                            <w:szCs w:val="20"/>
                          </w:rPr>
                          <w:t>With the exception of</w:t>
                        </w:r>
                        <w:proofErr w:type="gramEnd"/>
                        <w:r w:rsidRPr="00BC6E08">
                          <w:rPr>
                            <w:rFonts w:ascii="Verdana" w:eastAsia="Times New Roman" w:hAnsi="Verdana" w:cs="Times New Roman"/>
                            <w:sz w:val="20"/>
                            <w:szCs w:val="20"/>
                          </w:rPr>
                          <w:t xml:space="preserve"> cases owned by major oil companies, the responsible parties almost universally are at loss as to what really goes on.</w:t>
                        </w:r>
                      </w:p>
                    </w:tc>
                    <w:tc>
                      <w:tcPr>
                        <w:tcW w:w="0" w:type="auto"/>
                        <w:vAlign w:val="center"/>
                        <w:hideMark/>
                      </w:tcPr>
                      <w:p w14:paraId="3E381EAF" w14:textId="4B569518" w:rsidR="00BC6E08" w:rsidRPr="00BC6E08" w:rsidRDefault="00BC6E08" w:rsidP="00BC6E08">
                        <w:pPr>
                          <w:spacing w:after="0" w:line="240" w:lineRule="auto"/>
                          <w:rPr>
                            <w:rFonts w:ascii="Times New Roman" w:eastAsia="Times New Roman" w:hAnsi="Times New Roman" w:cs="Times New Roman"/>
                            <w:sz w:val="24"/>
                            <w:szCs w:val="24"/>
                          </w:rPr>
                        </w:pPr>
                        <w:r w:rsidRPr="00BC6E08">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14:anchorId="09B3766B" wp14:editId="6AAB5E89">
                              <wp:simplePos x="0" y="0"/>
                              <wp:positionH relativeFrom="column">
                                <wp:align>left</wp:align>
                              </wp:positionH>
                              <wp:positionV relativeFrom="line">
                                <wp:posOffset>0</wp:posOffset>
                              </wp:positionV>
                              <wp:extent cx="1552575" cy="2857500"/>
                              <wp:effectExtent l="0" t="0" r="9525" b="0"/>
                              <wp:wrapSquare wrapText="bothSides"/>
                              <wp:docPr id="9" name="Picture 9" descr="http://amiadini.com/NewsletterArchive/120203-NL195NL/envEnl-195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20203-NL195NL/envEnl-195_clip_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09FE0209" w14:textId="77777777" w:rsidR="00BC6E08" w:rsidRPr="00BC6E08" w:rsidRDefault="00BC6E08" w:rsidP="00BC6E08">
                        <w:pPr>
                          <w:spacing w:after="0" w:line="240" w:lineRule="auto"/>
                          <w:rPr>
                            <w:rFonts w:ascii="Times New Roman" w:eastAsia="Times New Roman" w:hAnsi="Times New Roman" w:cs="Times New Roman"/>
                            <w:sz w:val="24"/>
                            <w:szCs w:val="24"/>
                          </w:rPr>
                        </w:pPr>
                        <w:r w:rsidRPr="00BC6E08">
                          <w:rPr>
                            <w:rFonts w:ascii="Times New Roman" w:eastAsia="Times New Roman" w:hAnsi="Times New Roman" w:cs="Times New Roman"/>
                            <w:sz w:val="24"/>
                            <w:szCs w:val="24"/>
                          </w:rPr>
                          <w:t> </w:t>
                        </w:r>
                      </w:p>
                    </w:tc>
                  </w:tr>
                </w:tbl>
                <w:p w14:paraId="61183486" w14:textId="77777777" w:rsidR="00BC6E08" w:rsidRPr="00BC6E08" w:rsidRDefault="00BC6E08" w:rsidP="00BC6E08">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785"/>
                    <w:gridCol w:w="4515"/>
                  </w:tblGrid>
                  <w:tr w:rsidR="00BC6E08" w:rsidRPr="00BC6E08" w14:paraId="16A1C288" w14:textId="77777777">
                    <w:trPr>
                      <w:tblCellSpacing w:w="0" w:type="dxa"/>
                    </w:trPr>
                    <w:tc>
                      <w:tcPr>
                        <w:tcW w:w="4785" w:type="dxa"/>
                        <w:vAlign w:val="center"/>
                        <w:hideMark/>
                      </w:tcPr>
                      <w:p w14:paraId="78A3F1FC" w14:textId="77777777"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In their weakness, they defer to the controls exercised by the consultant, regulators and the Cleanup Fund.  However, with only few exceptions, regulators and the Fund do not manage the execution of the cases; this responsibility is the domain of the consultant who works under general oversight of the regulators. The regulators set up target cleanup levels and the Fund is charged with the responsibility to ensure that monies reimbursed by it have been spent reasonably. The Fund executes this duty by enforcing on the consultants to back up their invoices with detailed analyses of costs on a time-and-materials basis.</w:t>
                        </w:r>
                      </w:p>
                    </w:tc>
                    <w:tc>
                      <w:tcPr>
                        <w:tcW w:w="4515" w:type="dxa"/>
                        <w:hideMark/>
                      </w:tcPr>
                      <w:p w14:paraId="448753AC" w14:textId="57218896"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noProof/>
                            <w:sz w:val="20"/>
                            <w:szCs w:val="20"/>
                          </w:rPr>
                          <w:drawing>
                            <wp:inline distT="0" distB="0" distL="0" distR="0" wp14:anchorId="2C990014" wp14:editId="3CCB1CED">
                              <wp:extent cx="2863850" cy="2381250"/>
                              <wp:effectExtent l="0" t="0" r="0" b="0"/>
                              <wp:docPr id="5" name="Picture 5" descr="http://amiadini.com/NewsletterArchive/120203-NL195NL/envEnl-195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20203-NL195NL/envEnl-195_clip_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0" cy="2381250"/>
                                      </a:xfrm>
                                      <a:prstGeom prst="rect">
                                        <a:avLst/>
                                      </a:prstGeom>
                                      <a:noFill/>
                                      <a:ln>
                                        <a:noFill/>
                                      </a:ln>
                                    </pic:spPr>
                                  </pic:pic>
                                </a:graphicData>
                              </a:graphic>
                            </wp:inline>
                          </w:drawing>
                        </w:r>
                      </w:p>
                    </w:tc>
                  </w:tr>
                </w:tbl>
                <w:p w14:paraId="56B0951A" w14:textId="77777777"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As one can see, the ingredients are there for circumstances that are not conducive to closure of cases in the most cost-effective way. There is an old maxim that one usually produces the product that he gets paid to produce:</w:t>
                  </w:r>
                </w:p>
                <w:p w14:paraId="4F54DB0A" w14:textId="77777777" w:rsidR="00BC6E08" w:rsidRPr="00BC6E08" w:rsidRDefault="00BC6E08" w:rsidP="00BC6E08">
                  <w:pPr>
                    <w:numPr>
                      <w:ilvl w:val="0"/>
                      <w:numId w:val="1"/>
                    </w:numPr>
                    <w:spacing w:before="100" w:beforeAutospacing="1" w:after="240"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 xml:space="preserve">Regulators are not paid to execute cases to completion; they are directed to set forth the objectives and enforce compliance; </w:t>
                  </w:r>
                  <w:proofErr w:type="gramStart"/>
                  <w:r w:rsidRPr="00BC6E08">
                    <w:rPr>
                      <w:rFonts w:ascii="Verdana" w:eastAsia="Times New Roman" w:hAnsi="Verdana" w:cs="Times New Roman"/>
                      <w:sz w:val="20"/>
                      <w:szCs w:val="20"/>
                    </w:rPr>
                    <w:t>so</w:t>
                  </w:r>
                  <w:proofErr w:type="gramEnd"/>
                  <w:r w:rsidRPr="00BC6E08">
                    <w:rPr>
                      <w:rFonts w:ascii="Verdana" w:eastAsia="Times New Roman" w:hAnsi="Verdana" w:cs="Times New Roman"/>
                      <w:sz w:val="20"/>
                      <w:szCs w:val="20"/>
                    </w:rPr>
                    <w:t xml:space="preserve"> we have enforcement. </w:t>
                  </w:r>
                </w:p>
                <w:p w14:paraId="0563EB40" w14:textId="77777777" w:rsidR="00BC6E08" w:rsidRPr="00BC6E08" w:rsidRDefault="00BC6E08" w:rsidP="00BC6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The UST Cleanup Fund is not charged with the execution of cases to closure either; they are there to ensure that all costs are incurred reasonably: drilling, sampling, cleanup, reporting, and so on; that pieces of work get done for reasonable prices.</w:t>
                  </w:r>
                </w:p>
                <w:p w14:paraId="654496D8" w14:textId="77777777" w:rsidR="00BC6E08" w:rsidRPr="00BC6E08" w:rsidRDefault="00BC6E08" w:rsidP="00BC6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 xml:space="preserve">The consultants have no control on the target cleanup levels and are forced to get paid on the basis of time and materials; </w:t>
                  </w:r>
                  <w:proofErr w:type="gramStart"/>
                  <w:r w:rsidRPr="00BC6E08">
                    <w:rPr>
                      <w:rFonts w:ascii="Verdana" w:eastAsia="Times New Roman" w:hAnsi="Verdana" w:cs="Times New Roman"/>
                      <w:sz w:val="20"/>
                      <w:szCs w:val="20"/>
                    </w:rPr>
                    <w:t>so</w:t>
                  </w:r>
                  <w:proofErr w:type="gramEnd"/>
                  <w:r w:rsidRPr="00BC6E08">
                    <w:rPr>
                      <w:rFonts w:ascii="Verdana" w:eastAsia="Times New Roman" w:hAnsi="Verdana" w:cs="Times New Roman"/>
                      <w:sz w:val="20"/>
                      <w:szCs w:val="20"/>
                    </w:rPr>
                    <w:t xml:space="preserve"> they provide time and materials.</w:t>
                  </w:r>
                </w:p>
                <w:p w14:paraId="135BB6D6" w14:textId="77777777" w:rsidR="00BC6E08" w:rsidRPr="00BC6E08" w:rsidRDefault="00BC6E08" w:rsidP="00BC6E08">
                  <w:pPr>
                    <w:spacing w:before="100" w:beforeAutospacing="1" w:after="100" w:afterAutospacing="1" w:line="240" w:lineRule="auto"/>
                    <w:rPr>
                      <w:rFonts w:ascii="Verdana" w:eastAsia="Times New Roman" w:hAnsi="Verdana" w:cs="Times New Roman"/>
                      <w:sz w:val="20"/>
                      <w:szCs w:val="20"/>
                    </w:rPr>
                  </w:pPr>
                  <w:r w:rsidRPr="00BC6E08">
                    <w:rPr>
                      <w:rFonts w:ascii="Verdana" w:eastAsia="Times New Roman" w:hAnsi="Verdana" w:cs="Times New Roman"/>
                      <w:sz w:val="20"/>
                      <w:szCs w:val="20"/>
                    </w:rPr>
                    <w:t>The point being made is that by and large there is no integrated mechanism by which all players are managed through a central command point toward the most important goal: the accomplishment of the environmental cleanup in the most economical, practical way.</w:t>
                  </w:r>
                </w:p>
                <w:p w14:paraId="4081E577" w14:textId="45B94D29" w:rsidR="00BC6E08" w:rsidRPr="00BC6E08" w:rsidRDefault="00BC6E08" w:rsidP="00BC6E08">
                  <w:pPr>
                    <w:spacing w:before="100" w:beforeAutospacing="1" w:after="100" w:afterAutospacing="1" w:line="240" w:lineRule="auto"/>
                    <w:jc w:val="center"/>
                    <w:rPr>
                      <w:rFonts w:ascii="Verdana" w:eastAsia="Times New Roman" w:hAnsi="Verdana" w:cs="Times New Roman"/>
                      <w:sz w:val="20"/>
                      <w:szCs w:val="20"/>
                    </w:rPr>
                  </w:pPr>
                  <w:r w:rsidRPr="00BC6E08">
                    <w:rPr>
                      <w:rFonts w:ascii="Verdana" w:eastAsia="Times New Roman" w:hAnsi="Verdana" w:cs="Times New Roman"/>
                      <w:noProof/>
                      <w:sz w:val="20"/>
                      <w:szCs w:val="20"/>
                    </w:rPr>
                    <w:drawing>
                      <wp:inline distT="0" distB="0" distL="0" distR="0" wp14:anchorId="04A4C361" wp14:editId="577BDC25">
                        <wp:extent cx="4057650" cy="3689350"/>
                        <wp:effectExtent l="0" t="0" r="0" b="6350"/>
                        <wp:docPr id="4" name="Picture 4" descr="http://amiadini.com/NewsletterArchive/120203-NL195NL/envEnl-195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20203-NL195NL/envEnl-195_clip_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3689350"/>
                                </a:xfrm>
                                <a:prstGeom prst="rect">
                                  <a:avLst/>
                                </a:prstGeom>
                                <a:noFill/>
                                <a:ln>
                                  <a:noFill/>
                                </a:ln>
                              </pic:spPr>
                            </pic:pic>
                          </a:graphicData>
                        </a:graphic>
                      </wp:inline>
                    </w:drawing>
                  </w:r>
                </w:p>
                <w:p w14:paraId="524CE923" w14:textId="77777777" w:rsidR="00BC6E08" w:rsidRPr="00BC6E08" w:rsidRDefault="00BC6E08" w:rsidP="00BC6E08">
                  <w:pPr>
                    <w:spacing w:before="100" w:beforeAutospacing="1" w:after="100" w:afterAutospacing="1" w:line="240" w:lineRule="auto"/>
                    <w:rPr>
                      <w:rFonts w:ascii="Verdana" w:eastAsia="Times New Roman" w:hAnsi="Verdana" w:cs="Times New Roman"/>
                      <w:sz w:val="20"/>
                      <w:szCs w:val="20"/>
                    </w:rPr>
                  </w:pPr>
                  <w:r w:rsidRPr="00BC6E08">
                    <w:rPr>
                      <w:rFonts w:ascii="Verdana" w:eastAsia="Times New Roman" w:hAnsi="Verdana" w:cs="Times New Roman"/>
                      <w:sz w:val="20"/>
                      <w:szCs w:val="20"/>
                    </w:rPr>
                    <w:t>The result is that cost of UST case closure has been climbing steadily. My estimate of the current cost of taking the average case to closure is at the $700K mark.</w:t>
                  </w:r>
                </w:p>
                <w:p w14:paraId="6B98B48F" w14:textId="45EAFC6F" w:rsidR="00BC6E08" w:rsidRPr="00BC6E08" w:rsidRDefault="00BC6E08" w:rsidP="00BC6E08">
                  <w:pPr>
                    <w:spacing w:before="100" w:beforeAutospacing="1" w:after="100" w:afterAutospacing="1" w:line="240" w:lineRule="auto"/>
                    <w:jc w:val="center"/>
                    <w:rPr>
                      <w:rFonts w:ascii="Verdana" w:eastAsia="Times New Roman" w:hAnsi="Verdana" w:cs="Times New Roman"/>
                      <w:sz w:val="20"/>
                      <w:szCs w:val="20"/>
                    </w:rPr>
                  </w:pPr>
                  <w:r w:rsidRPr="00BC6E08">
                    <w:rPr>
                      <w:rFonts w:ascii="Verdana" w:eastAsia="Times New Roman" w:hAnsi="Verdana" w:cs="Times New Roman"/>
                      <w:noProof/>
                      <w:sz w:val="20"/>
                      <w:szCs w:val="20"/>
                    </w:rPr>
                    <w:drawing>
                      <wp:inline distT="0" distB="0" distL="0" distR="0" wp14:anchorId="3FE817FC" wp14:editId="05130672">
                        <wp:extent cx="4464050" cy="3352800"/>
                        <wp:effectExtent l="0" t="0" r="0" b="0"/>
                        <wp:docPr id="3" name="Picture 3" descr="http://amiadini.com/NewsletterArchive/120203-NL195NL/envEnl-195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20203-NL195NL/envEnl-195_clip_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4050" cy="3352800"/>
                                </a:xfrm>
                                <a:prstGeom prst="rect">
                                  <a:avLst/>
                                </a:prstGeom>
                                <a:noFill/>
                                <a:ln>
                                  <a:noFill/>
                                </a:ln>
                              </pic:spPr>
                            </pic:pic>
                          </a:graphicData>
                        </a:graphic>
                      </wp:inline>
                    </w:drawing>
                  </w:r>
                </w:p>
                <w:p w14:paraId="5C53D1C7" w14:textId="77777777"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Times New Roman" w:eastAsia="Times New Roman" w:hAnsi="Times New Roman" w:cs="Times New Roman"/>
                      <w:sz w:val="24"/>
                      <w:szCs w:val="24"/>
                    </w:rPr>
                    <w:t> </w:t>
                  </w:r>
                </w:p>
                <w:p w14:paraId="16A394A4" w14:textId="77777777"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One should know that the UST Cleanup Fund is the prime force that effects cleanup of leaking UST sites in California. With 4700 claims in the waiting line plus 3600 active claims, the Fund is looking at a total case closure cost on the order of $4 billion. At the current rate of funding of (</w:t>
                  </w:r>
                  <w:proofErr w:type="spellStart"/>
                  <w:r w:rsidRPr="00BC6E08">
                    <w:rPr>
                      <w:rFonts w:ascii="Verdana" w:eastAsia="Times New Roman" w:hAnsi="Verdana" w:cs="Times New Roman"/>
                      <w:sz w:val="20"/>
                      <w:szCs w:val="20"/>
                    </w:rPr>
                    <w:t>approx</w:t>
                  </w:r>
                  <w:proofErr w:type="spellEnd"/>
                  <w:r w:rsidRPr="00BC6E08">
                    <w:rPr>
                      <w:rFonts w:ascii="Verdana" w:eastAsia="Times New Roman" w:hAnsi="Verdana" w:cs="Times New Roman"/>
                      <w:sz w:val="20"/>
                      <w:szCs w:val="20"/>
                    </w:rPr>
                    <w:t>) $200 million per year, it will take 20 years for the Fund to finance the cleanup of all claims! These numbers are untenable!</w:t>
                  </w:r>
                </w:p>
                <w:p w14:paraId="1C8A06C9" w14:textId="77777777"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Therefore, California EPA embarked on the road to constrict the hemorrhage of funds and is doing this through the implementation of a “Low Threat UST Closure Policy” aiming at a wholesale closure of thousands of sites that will fall within the parameters of “Low Threat.” There is an ongoing debate as to what constitutes “low threat,” but at the end of the day the policy is </w:t>
                  </w:r>
                  <w:r w:rsidRPr="00BC6E08">
                    <w:rPr>
                      <w:rFonts w:ascii="Verdana" w:eastAsia="Times New Roman" w:hAnsi="Verdana" w:cs="Times New Roman"/>
                      <w:i/>
                      <w:iCs/>
                      <w:sz w:val="20"/>
                      <w:szCs w:val="20"/>
                    </w:rPr>
                    <w:t>cost-driven</w:t>
                  </w:r>
                  <w:r w:rsidRPr="00BC6E08">
                    <w:rPr>
                      <w:rFonts w:ascii="Verdana" w:eastAsia="Times New Roman" w:hAnsi="Verdana" w:cs="Times New Roman"/>
                      <w:sz w:val="20"/>
                      <w:szCs w:val="20"/>
                    </w:rPr>
                    <w:t> in the main!</w:t>
                  </w:r>
                </w:p>
                <w:p w14:paraId="76331120" w14:textId="5F60F547" w:rsidR="00BC6E08" w:rsidRPr="00BC6E08" w:rsidRDefault="00BC6E08" w:rsidP="00BC6E08">
                  <w:pPr>
                    <w:spacing w:before="100" w:beforeAutospacing="1" w:after="100" w:afterAutospacing="1" w:line="240" w:lineRule="auto"/>
                    <w:jc w:val="center"/>
                    <w:rPr>
                      <w:rFonts w:ascii="Times New Roman" w:eastAsia="Times New Roman" w:hAnsi="Times New Roman" w:cs="Times New Roman"/>
                      <w:sz w:val="24"/>
                      <w:szCs w:val="24"/>
                    </w:rPr>
                  </w:pPr>
                  <w:r w:rsidRPr="00BC6E08">
                    <w:rPr>
                      <w:rFonts w:ascii="Verdana" w:eastAsia="Times New Roman" w:hAnsi="Verdana" w:cs="Times New Roman"/>
                      <w:b/>
                      <w:bCs/>
                      <w:noProof/>
                      <w:sz w:val="20"/>
                      <w:szCs w:val="20"/>
                    </w:rPr>
                    <w:drawing>
                      <wp:inline distT="0" distB="0" distL="0" distR="0" wp14:anchorId="45ECFDC8" wp14:editId="0D9D1CA7">
                        <wp:extent cx="3613150" cy="5149850"/>
                        <wp:effectExtent l="0" t="0" r="6350" b="0"/>
                        <wp:docPr id="2" name="Picture 2" descr="http://amiadini.com/NewsletterArchive/120203-NL195NL/envEnl-195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20203-NL195NL/envEnl-195_clip_image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0" cy="5149850"/>
                                </a:xfrm>
                                <a:prstGeom prst="rect">
                                  <a:avLst/>
                                </a:prstGeom>
                                <a:noFill/>
                                <a:ln>
                                  <a:noFill/>
                                </a:ln>
                              </pic:spPr>
                            </pic:pic>
                          </a:graphicData>
                        </a:graphic>
                      </wp:inline>
                    </w:drawing>
                  </w:r>
                  <w:r w:rsidRPr="00BC6E08">
                    <w:rPr>
                      <w:rFonts w:ascii="Verdana" w:eastAsia="Times New Roman" w:hAnsi="Verdana" w:cs="Times New Roman"/>
                      <w:sz w:val="20"/>
                      <w:szCs w:val="20"/>
                    </w:rPr>
                    <w:br/>
                  </w:r>
                  <w:hyperlink r:id="rId12" w:history="1">
                    <w:r w:rsidRPr="00BC6E08">
                      <w:rPr>
                        <w:rFonts w:ascii="Verdana" w:eastAsia="Times New Roman" w:hAnsi="Verdana" w:cs="Times New Roman"/>
                        <w:color w:val="0000FF"/>
                        <w:sz w:val="15"/>
                        <w:szCs w:val="15"/>
                        <w:u w:val="single"/>
                      </w:rPr>
                      <w:t>http://faculty.fairfield.edu/rjregan/rr372s09.htm</w:t>
                    </w:r>
                  </w:hyperlink>
                </w:p>
                <w:p w14:paraId="2024FD1A" w14:textId="77777777"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 xml:space="preserve">The point being made is that that the “Low Threat” policy and ensuing debate could be avoided if environmental consultants </w:t>
                  </w:r>
                  <w:proofErr w:type="gramStart"/>
                  <w:r w:rsidRPr="00BC6E08">
                    <w:rPr>
                      <w:rFonts w:ascii="Verdana" w:eastAsia="Times New Roman" w:hAnsi="Verdana" w:cs="Times New Roman"/>
                      <w:sz w:val="20"/>
                      <w:szCs w:val="20"/>
                    </w:rPr>
                    <w:t>were capable of guaranteeing</w:t>
                  </w:r>
                  <w:proofErr w:type="gramEnd"/>
                  <w:r w:rsidRPr="00BC6E08">
                    <w:rPr>
                      <w:rFonts w:ascii="Verdana" w:eastAsia="Times New Roman" w:hAnsi="Verdana" w:cs="Times New Roman"/>
                      <w:sz w:val="20"/>
                      <w:szCs w:val="20"/>
                    </w:rPr>
                    <w:t xml:space="preserve"> fixed cost and time in taking cases all the way to closure. It is my conviction that the average UST case-closure cost could be reduced by more than 40 percent, thereby reducing or eliminating controversial aspects of the proposed policy.</w:t>
                  </w:r>
                </w:p>
                <w:p w14:paraId="460E8751" w14:textId="77777777" w:rsidR="00BC6E08" w:rsidRPr="00BC6E08" w:rsidRDefault="00BC6E08" w:rsidP="00BC6E08">
                  <w:pPr>
                    <w:spacing w:after="0"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Within just the caseload that my firm manages, I identify 10 cases of substantial contamination that could be taken to closure with pre-guaranteed cost and time.</w:t>
                  </w:r>
                </w:p>
                <w:tbl>
                  <w:tblPr>
                    <w:tblW w:w="5000" w:type="pct"/>
                    <w:tblCellSpacing w:w="0" w:type="dxa"/>
                    <w:tblCellMar>
                      <w:left w:w="0" w:type="dxa"/>
                      <w:right w:w="0" w:type="dxa"/>
                    </w:tblCellMar>
                    <w:tblLook w:val="04A0" w:firstRow="1" w:lastRow="0" w:firstColumn="1" w:lastColumn="0" w:noHBand="0" w:noVBand="1"/>
                  </w:tblPr>
                  <w:tblGrid>
                    <w:gridCol w:w="7305"/>
                    <w:gridCol w:w="60"/>
                    <w:gridCol w:w="2145"/>
                  </w:tblGrid>
                  <w:tr w:rsidR="00BC6E08" w:rsidRPr="00BC6E08" w14:paraId="592EE6F0" w14:textId="77777777">
                    <w:trPr>
                      <w:tblCellSpacing w:w="0" w:type="dxa"/>
                    </w:trPr>
                    <w:tc>
                      <w:tcPr>
                        <w:tcW w:w="0" w:type="auto"/>
                        <w:vAlign w:val="center"/>
                        <w:hideMark/>
                      </w:tcPr>
                      <w:p w14:paraId="366A0318" w14:textId="77777777" w:rsidR="00BC6E08" w:rsidRPr="00BC6E08" w:rsidRDefault="00BC6E08" w:rsidP="00BC6E08">
                        <w:pPr>
                          <w:spacing w:after="0"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This point is supported by US EPA. They compiled and analyzed data from 14 state programs. The results are published at </w:t>
                        </w:r>
                        <w:hyperlink r:id="rId13" w:tooltip="http://www.epa.gov/oust/cat/backlog.html" w:history="1">
                          <w:r w:rsidRPr="00BC6E08">
                            <w:rPr>
                              <w:rFonts w:ascii="Verdana" w:eastAsia="Times New Roman" w:hAnsi="Verdana" w:cs="Times New Roman"/>
                              <w:color w:val="0000FF"/>
                              <w:sz w:val="20"/>
                              <w:szCs w:val="20"/>
                              <w:u w:val="single"/>
                            </w:rPr>
                            <w:t>www.epa.gov/oust/cat/backlog.html</w:t>
                          </w:r>
                        </w:hyperlink>
                        <w:r w:rsidRPr="00BC6E08">
                          <w:rPr>
                            <w:rFonts w:ascii="Verdana" w:eastAsia="Times New Roman" w:hAnsi="Verdana" w:cs="Times New Roman"/>
                            <w:sz w:val="20"/>
                            <w:szCs w:val="20"/>
                          </w:rPr>
                          <w:t>. In the case of California, US EPA recommends that it “should consider… employing cost-cutting measures. For example, </w:t>
                        </w:r>
                        <w:r w:rsidRPr="00BC6E08">
                          <w:rPr>
                            <w:rFonts w:ascii="Verdana" w:eastAsia="Times New Roman" w:hAnsi="Verdana" w:cs="Times New Roman"/>
                            <w:i/>
                            <w:iCs/>
                            <w:sz w:val="20"/>
                            <w:szCs w:val="20"/>
                          </w:rPr>
                          <w:t>open-market competitive bidding for cleanup work</w:t>
                        </w:r>
                        <w:r w:rsidRPr="00BC6E08">
                          <w:rPr>
                            <w:rFonts w:ascii="Verdana" w:eastAsia="Times New Roman" w:hAnsi="Verdana" w:cs="Times New Roman"/>
                            <w:sz w:val="20"/>
                            <w:szCs w:val="20"/>
                          </w:rPr>
                          <w:t> could increase the amount of funds available per cleanup.”</w:t>
                        </w:r>
                      </w:p>
                    </w:tc>
                    <w:tc>
                      <w:tcPr>
                        <w:tcW w:w="0" w:type="auto"/>
                        <w:vAlign w:val="center"/>
                        <w:hideMark/>
                      </w:tcPr>
                      <w:p w14:paraId="1C05934D" w14:textId="77777777" w:rsidR="00BC6E08" w:rsidRPr="00BC6E08" w:rsidRDefault="00BC6E08" w:rsidP="00BC6E08">
                        <w:pPr>
                          <w:spacing w:after="0" w:line="240" w:lineRule="auto"/>
                          <w:rPr>
                            <w:rFonts w:ascii="Times New Roman" w:eastAsia="Times New Roman" w:hAnsi="Times New Roman" w:cs="Times New Roman"/>
                            <w:sz w:val="24"/>
                            <w:szCs w:val="24"/>
                          </w:rPr>
                        </w:pPr>
                        <w:r w:rsidRPr="00BC6E08">
                          <w:rPr>
                            <w:rFonts w:ascii="Times New Roman" w:eastAsia="Times New Roman" w:hAnsi="Times New Roman" w:cs="Times New Roman"/>
                            <w:sz w:val="24"/>
                            <w:szCs w:val="24"/>
                          </w:rPr>
                          <w:t> </w:t>
                        </w:r>
                      </w:p>
                    </w:tc>
                    <w:tc>
                      <w:tcPr>
                        <w:tcW w:w="0" w:type="auto"/>
                        <w:vAlign w:val="center"/>
                        <w:hideMark/>
                      </w:tcPr>
                      <w:p w14:paraId="1CF0B3D0" w14:textId="6FBD28BF" w:rsidR="00BC6E08" w:rsidRPr="00BC6E08" w:rsidRDefault="00BC6E08" w:rsidP="00BC6E08">
                        <w:pPr>
                          <w:spacing w:after="0" w:line="240" w:lineRule="auto"/>
                          <w:rPr>
                            <w:rFonts w:ascii="Times New Roman" w:eastAsia="Times New Roman" w:hAnsi="Times New Roman" w:cs="Times New Roman"/>
                            <w:sz w:val="24"/>
                            <w:szCs w:val="24"/>
                          </w:rPr>
                        </w:pPr>
                        <w:r w:rsidRPr="00BC6E08">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14:anchorId="44D2A37D" wp14:editId="1FADF5D8">
                              <wp:simplePos x="0" y="0"/>
                              <wp:positionH relativeFrom="column">
                                <wp:align>left</wp:align>
                              </wp:positionH>
                              <wp:positionV relativeFrom="line">
                                <wp:posOffset>0</wp:posOffset>
                              </wp:positionV>
                              <wp:extent cx="1362075" cy="1485900"/>
                              <wp:effectExtent l="0" t="0" r="9525" b="0"/>
                              <wp:wrapSquare wrapText="bothSides"/>
                              <wp:docPr id="8" name="Picture 8" descr="http://amiadini.com/NewsletterArchive/120203-NL195NL/envEnl-195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20203-NL195NL/envEnl-195_clip_image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75E5DC0" w14:textId="77777777" w:rsidR="00BC6E08" w:rsidRPr="00BC6E08" w:rsidRDefault="00BC6E08" w:rsidP="00BC6E08">
                  <w:pPr>
                    <w:spacing w:after="0"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To this learned recommendation I add that open-market </w:t>
                  </w:r>
                  <w:r w:rsidRPr="00BC6E08">
                    <w:rPr>
                      <w:rFonts w:ascii="Verdana" w:eastAsia="Times New Roman" w:hAnsi="Verdana" w:cs="Times New Roman"/>
                      <w:i/>
                      <w:iCs/>
                      <w:sz w:val="20"/>
                      <w:szCs w:val="20"/>
                    </w:rPr>
                    <w:t>competitive bidding</w:t>
                  </w:r>
                  <w:r w:rsidRPr="00BC6E08">
                    <w:rPr>
                      <w:rFonts w:ascii="Verdana" w:eastAsia="Times New Roman" w:hAnsi="Verdana" w:cs="Times New Roman"/>
                      <w:sz w:val="20"/>
                      <w:szCs w:val="20"/>
                    </w:rPr>
                    <w:t> would be </w:t>
                  </w:r>
                  <w:r w:rsidRPr="00BC6E08">
                    <w:rPr>
                      <w:rFonts w:ascii="Verdana" w:eastAsia="Times New Roman" w:hAnsi="Verdana" w:cs="Times New Roman"/>
                      <w:i/>
                      <w:iCs/>
                      <w:sz w:val="20"/>
                      <w:szCs w:val="20"/>
                    </w:rPr>
                    <w:t>effective only</w:t>
                  </w:r>
                  <w:r w:rsidRPr="00BC6E08">
                    <w:rPr>
                      <w:rFonts w:ascii="Verdana" w:eastAsia="Times New Roman" w:hAnsi="Verdana" w:cs="Times New Roman"/>
                      <w:sz w:val="20"/>
                      <w:szCs w:val="20"/>
                    </w:rPr>
                    <w:t> </w:t>
                  </w:r>
                  <w:r w:rsidRPr="00BC6E08">
                    <w:rPr>
                      <w:rFonts w:ascii="Verdana" w:eastAsia="Times New Roman" w:hAnsi="Verdana" w:cs="Times New Roman"/>
                      <w:i/>
                      <w:iCs/>
                      <w:sz w:val="20"/>
                      <w:szCs w:val="20"/>
                    </w:rPr>
                    <w:t>if</w:t>
                  </w:r>
                  <w:r w:rsidRPr="00BC6E08">
                    <w:rPr>
                      <w:rFonts w:ascii="Verdana" w:eastAsia="Times New Roman" w:hAnsi="Verdana" w:cs="Times New Roman"/>
                      <w:sz w:val="20"/>
                      <w:szCs w:val="20"/>
                    </w:rPr>
                    <w:t> bids are to include </w:t>
                  </w:r>
                  <w:r w:rsidRPr="00BC6E08">
                    <w:rPr>
                      <w:rFonts w:ascii="Verdana" w:eastAsia="Times New Roman" w:hAnsi="Verdana" w:cs="Times New Roman"/>
                      <w:i/>
                      <w:iCs/>
                      <w:sz w:val="20"/>
                      <w:szCs w:val="20"/>
                    </w:rPr>
                    <w:t>guarantees for cost and time to take cases to closure</w:t>
                  </w:r>
                  <w:r w:rsidRPr="00BC6E08">
                    <w:rPr>
                      <w:rFonts w:ascii="Verdana" w:eastAsia="Times New Roman" w:hAnsi="Verdana" w:cs="Times New Roman"/>
                      <w:sz w:val="20"/>
                      <w:szCs w:val="20"/>
                    </w:rPr>
                    <w:t>. I fervently believe that this is doable along a large portion of the current leaking-UST caseload!</w:t>
                  </w:r>
                </w:p>
                <w:p w14:paraId="7A3F8369" w14:textId="77777777"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Should not this argument be tested?</w:t>
                  </w:r>
                </w:p>
                <w:p w14:paraId="71A14C4D" w14:textId="77777777"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And, does not the lucrative reward justify the experiment?</w:t>
                  </w:r>
                </w:p>
                <w:p w14:paraId="53F91B3C" w14:textId="57365061" w:rsidR="00BC6E08" w:rsidRPr="00BC6E08" w:rsidRDefault="00BC6E08" w:rsidP="00BC6E08">
                  <w:pPr>
                    <w:spacing w:before="100" w:beforeAutospacing="1" w:after="100" w:afterAutospacing="1" w:line="240" w:lineRule="auto"/>
                    <w:jc w:val="center"/>
                    <w:rPr>
                      <w:rFonts w:ascii="Times New Roman" w:eastAsia="Times New Roman" w:hAnsi="Times New Roman" w:cs="Times New Roman"/>
                      <w:sz w:val="24"/>
                      <w:szCs w:val="24"/>
                    </w:rPr>
                  </w:pPr>
                  <w:r w:rsidRPr="00BC6E08">
                    <w:rPr>
                      <w:rFonts w:ascii="Verdana" w:eastAsia="Times New Roman" w:hAnsi="Verdana" w:cs="Times New Roman"/>
                      <w:sz w:val="20"/>
                      <w:szCs w:val="20"/>
                    </w:rPr>
                    <w:br/>
                  </w:r>
                  <w:r w:rsidRPr="00BC6E08">
                    <w:rPr>
                      <w:rFonts w:ascii="Verdana" w:eastAsia="Times New Roman" w:hAnsi="Verdana" w:cs="Times New Roman"/>
                      <w:noProof/>
                      <w:sz w:val="20"/>
                      <w:szCs w:val="20"/>
                    </w:rPr>
                    <w:drawing>
                      <wp:inline distT="0" distB="0" distL="0" distR="0" wp14:anchorId="2FD0B654" wp14:editId="6F3173D9">
                        <wp:extent cx="4114800" cy="2736850"/>
                        <wp:effectExtent l="0" t="0" r="0" b="6350"/>
                        <wp:docPr id="1" name="Picture 1" descr="http://amiadini.com/NewsletterArchive/120203-NL195NL/envEnl-195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20203-NL195NL/envEnl-195_clip_image0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736850"/>
                                </a:xfrm>
                                <a:prstGeom prst="rect">
                                  <a:avLst/>
                                </a:prstGeom>
                                <a:noFill/>
                                <a:ln>
                                  <a:noFill/>
                                </a:ln>
                              </pic:spPr>
                            </pic:pic>
                          </a:graphicData>
                        </a:graphic>
                      </wp:inline>
                    </w:drawing>
                  </w:r>
                  <w:r w:rsidRPr="00BC6E08">
                    <w:rPr>
                      <w:rFonts w:ascii="Verdana" w:eastAsia="Times New Roman" w:hAnsi="Verdana" w:cs="Times New Roman"/>
                      <w:sz w:val="20"/>
                      <w:szCs w:val="20"/>
                    </w:rPr>
                    <w:br w:type="textWrapping" w:clear="all"/>
                  </w:r>
                </w:p>
              </w:tc>
            </w:tr>
            <w:tr w:rsidR="00BC6E08" w:rsidRPr="00BC6E08" w14:paraId="3FB5CEC4"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E103B0B" w14:textId="77777777" w:rsidR="00BC6E08" w:rsidRPr="00BC6E08" w:rsidRDefault="00BC6E08" w:rsidP="00BC6E08">
                  <w:pPr>
                    <w:spacing w:before="100" w:beforeAutospacing="1" w:after="100" w:afterAutospacing="1" w:line="240" w:lineRule="auto"/>
                    <w:rPr>
                      <w:rFonts w:ascii="Times New Roman" w:eastAsia="Times New Roman" w:hAnsi="Times New Roman" w:cs="Times New Roman"/>
                      <w:sz w:val="24"/>
                      <w:szCs w:val="24"/>
                    </w:rPr>
                  </w:pPr>
                  <w:r w:rsidRPr="00BC6E08">
                    <w:rPr>
                      <w:rFonts w:ascii="Verdana" w:eastAsia="Times New Roman" w:hAnsi="Verdana" w:cs="Times New Roman"/>
                      <w:sz w:val="20"/>
                      <w:szCs w:val="20"/>
                    </w:rPr>
                    <w:t>You can find past issues of our "Environmental Enlightenment" at </w:t>
                  </w:r>
                  <w:hyperlink r:id="rId16" w:history="1">
                    <w:r w:rsidRPr="00BC6E08">
                      <w:rPr>
                        <w:rFonts w:ascii="Verdana" w:eastAsia="Times New Roman" w:hAnsi="Verdana" w:cs="Times New Roman"/>
                        <w:color w:val="0000FF"/>
                        <w:sz w:val="20"/>
                        <w:szCs w:val="20"/>
                        <w:u w:val="single"/>
                      </w:rPr>
                      <w:t>amiadini.com</w:t>
                    </w:r>
                  </w:hyperlink>
                  <w:r w:rsidRPr="00BC6E08">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3CCA10C4" w14:textId="77777777" w:rsidR="00BC6E08" w:rsidRPr="00BC6E08" w:rsidRDefault="00BC6E08" w:rsidP="00BC6E08">
            <w:pPr>
              <w:spacing w:after="0" w:line="240" w:lineRule="auto"/>
              <w:jc w:val="center"/>
              <w:rPr>
                <w:rFonts w:ascii="Verdana" w:eastAsia="Times New Roman" w:hAnsi="Verdana" w:cs="Times New Roman"/>
                <w:vanish/>
                <w:color w:val="000000"/>
                <w:sz w:val="20"/>
                <w:szCs w:val="20"/>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BC6E08" w:rsidRPr="00BC6E08" w14:paraId="17CC537B" w14:textId="77777777">
              <w:trPr>
                <w:tblCellSpacing w:w="0" w:type="dxa"/>
                <w:jc w:val="center"/>
              </w:trPr>
              <w:tc>
                <w:tcPr>
                  <w:tcW w:w="0" w:type="auto"/>
                  <w:vAlign w:val="center"/>
                  <w:hideMark/>
                </w:tcPr>
                <w:p w14:paraId="2EF207B2" w14:textId="77777777" w:rsidR="00BC6E08" w:rsidRPr="00BC6E08" w:rsidRDefault="00BC6E08" w:rsidP="00BC6E08">
                  <w:pPr>
                    <w:spacing w:before="100" w:beforeAutospacing="1" w:after="100" w:afterAutospacing="1" w:line="240" w:lineRule="auto"/>
                    <w:jc w:val="center"/>
                    <w:rPr>
                      <w:rFonts w:ascii="Times New Roman" w:eastAsia="Times New Roman" w:hAnsi="Times New Roman" w:cs="Times New Roman"/>
                      <w:sz w:val="24"/>
                      <w:szCs w:val="24"/>
                    </w:rPr>
                  </w:pPr>
                  <w:r w:rsidRPr="00BC6E08">
                    <w:rPr>
                      <w:rFonts w:ascii="Verdana" w:eastAsia="Times New Roman" w:hAnsi="Verdana" w:cs="Times New Roman"/>
                      <w:sz w:val="20"/>
                      <w:szCs w:val="20"/>
                    </w:rPr>
                    <w:t>Call me if you have any questions. There are </w:t>
                  </w:r>
                  <w:r w:rsidRPr="00BC6E08">
                    <w:rPr>
                      <w:rFonts w:ascii="Verdana" w:eastAsia="Times New Roman" w:hAnsi="Verdana" w:cs="Times New Roman"/>
                      <w:b/>
                      <w:bCs/>
                      <w:sz w:val="20"/>
                      <w:szCs w:val="20"/>
                    </w:rPr>
                    <w:t>no obligations.</w:t>
                  </w:r>
                  <w:r w:rsidRPr="00BC6E08">
                    <w:rPr>
                      <w:rFonts w:ascii="Verdana" w:eastAsia="Times New Roman" w:hAnsi="Verdana" w:cs="Times New Roman"/>
                      <w:sz w:val="20"/>
                      <w:szCs w:val="20"/>
                    </w:rPr>
                    <w:br/>
                  </w:r>
                  <w:r w:rsidRPr="00BC6E08">
                    <w:rPr>
                      <w:rFonts w:ascii="Verdana" w:eastAsia="Times New Roman" w:hAnsi="Verdana" w:cs="Times New Roman"/>
                      <w:sz w:val="20"/>
                      <w:szCs w:val="20"/>
                    </w:rPr>
                    <w:br/>
                    <w:t xml:space="preserve">Ami </w:t>
                  </w:r>
                  <w:proofErr w:type="spellStart"/>
                  <w:r w:rsidRPr="00BC6E08">
                    <w:rPr>
                      <w:rFonts w:ascii="Verdana" w:eastAsia="Times New Roman" w:hAnsi="Verdana" w:cs="Times New Roman"/>
                      <w:sz w:val="20"/>
                      <w:szCs w:val="20"/>
                    </w:rPr>
                    <w:t>Adini</w:t>
                  </w:r>
                  <w:proofErr w:type="spellEnd"/>
                  <w:r w:rsidRPr="00BC6E08">
                    <w:rPr>
                      <w:rFonts w:ascii="Verdana" w:eastAsia="Times New Roman" w:hAnsi="Verdana" w:cs="Times New Roman"/>
                      <w:sz w:val="20"/>
                      <w:szCs w:val="20"/>
                    </w:rPr>
                    <w:t xml:space="preserve"> Environmental Services, Inc.</w:t>
                  </w:r>
                  <w:r w:rsidRPr="00BC6E08">
                    <w:rPr>
                      <w:rFonts w:ascii="Verdana" w:eastAsia="Times New Roman" w:hAnsi="Verdana" w:cs="Times New Roman"/>
                      <w:sz w:val="20"/>
                      <w:szCs w:val="20"/>
                    </w:rPr>
                    <w:br/>
                    <w:t>Environmental Consultants &amp; General Engineering Contractors</w:t>
                  </w:r>
                  <w:r w:rsidRPr="00BC6E08">
                    <w:rPr>
                      <w:rFonts w:ascii="Verdana" w:eastAsia="Times New Roman" w:hAnsi="Verdana" w:cs="Times New Roman"/>
                      <w:sz w:val="20"/>
                      <w:szCs w:val="20"/>
                    </w:rPr>
                    <w:br/>
                    <w:t xml:space="preserve">California </w:t>
                  </w:r>
                  <w:proofErr w:type="spellStart"/>
                  <w:r w:rsidRPr="00BC6E08">
                    <w:rPr>
                      <w:rFonts w:ascii="Verdana" w:eastAsia="Times New Roman" w:hAnsi="Verdana" w:cs="Times New Roman"/>
                      <w:sz w:val="20"/>
                      <w:szCs w:val="20"/>
                    </w:rPr>
                    <w:t>Lic</w:t>
                  </w:r>
                  <w:proofErr w:type="spellEnd"/>
                  <w:r w:rsidRPr="00BC6E08">
                    <w:rPr>
                      <w:rFonts w:ascii="Verdana" w:eastAsia="Times New Roman" w:hAnsi="Verdana" w:cs="Times New Roman"/>
                      <w:sz w:val="20"/>
                      <w:szCs w:val="20"/>
                    </w:rPr>
                    <w:t>. #1009513 A B HAZ ASB</w:t>
                  </w:r>
                  <w:r w:rsidRPr="00BC6E08">
                    <w:rPr>
                      <w:rFonts w:ascii="Verdana" w:eastAsia="Times New Roman" w:hAnsi="Verdana" w:cs="Times New Roman"/>
                      <w:sz w:val="20"/>
                      <w:szCs w:val="20"/>
                    </w:rPr>
                    <w:br/>
                  </w:r>
                  <w:r w:rsidRPr="00BC6E08">
                    <w:rPr>
                      <w:rFonts w:ascii="Verdana" w:eastAsia="Times New Roman" w:hAnsi="Verdana" w:cs="Times New Roman"/>
                      <w:b/>
                      <w:bCs/>
                      <w:sz w:val="20"/>
                      <w:szCs w:val="20"/>
                    </w:rPr>
                    <w:t>818-824-8102</w:t>
                  </w:r>
                  <w:r w:rsidRPr="00BC6E08">
                    <w:rPr>
                      <w:rFonts w:ascii="Verdana" w:eastAsia="Times New Roman" w:hAnsi="Verdana" w:cs="Times New Roman"/>
                      <w:sz w:val="20"/>
                      <w:szCs w:val="20"/>
                    </w:rPr>
                    <w:t>; </w:t>
                  </w:r>
                  <w:hyperlink r:id="rId17" w:history="1">
                    <w:r w:rsidRPr="00BC6E08">
                      <w:rPr>
                        <w:rFonts w:ascii="Verdana" w:eastAsia="Times New Roman" w:hAnsi="Verdana" w:cs="Times New Roman"/>
                        <w:b/>
                        <w:bCs/>
                        <w:color w:val="0000FF"/>
                        <w:sz w:val="20"/>
                        <w:szCs w:val="20"/>
                        <w:u w:val="single"/>
                      </w:rPr>
                      <w:t>mail@amiadini.com</w:t>
                    </w:r>
                  </w:hyperlink>
                  <w:r w:rsidRPr="00BC6E08">
                    <w:rPr>
                      <w:rFonts w:ascii="Verdana" w:eastAsia="Times New Roman" w:hAnsi="Verdana" w:cs="Times New Roman"/>
                      <w:sz w:val="20"/>
                      <w:szCs w:val="20"/>
                    </w:rPr>
                    <w:br/>
                  </w:r>
                  <w:hyperlink r:id="rId18" w:tgtFrame="_blank" w:history="1">
                    <w:r w:rsidRPr="00BC6E08">
                      <w:rPr>
                        <w:rFonts w:ascii="Verdana" w:eastAsia="Times New Roman" w:hAnsi="Verdana" w:cs="Times New Roman"/>
                        <w:color w:val="0000FF"/>
                        <w:sz w:val="20"/>
                        <w:szCs w:val="20"/>
                        <w:u w:val="single"/>
                      </w:rPr>
                      <w:t>www.amiadini.com</w:t>
                    </w:r>
                  </w:hyperlink>
                </w:p>
                <w:p w14:paraId="161DFF00" w14:textId="77777777" w:rsidR="00BC6E08" w:rsidRPr="00BC6E08" w:rsidRDefault="00BC6E08" w:rsidP="00BC6E08">
                  <w:pPr>
                    <w:spacing w:after="0" w:line="240" w:lineRule="auto"/>
                    <w:rPr>
                      <w:rFonts w:ascii="Times New Roman" w:eastAsia="Times New Roman" w:hAnsi="Times New Roman" w:cs="Times New Roman"/>
                      <w:sz w:val="24"/>
                      <w:szCs w:val="24"/>
                    </w:rPr>
                  </w:pPr>
                  <w:r w:rsidRPr="00BC6E08">
                    <w:rPr>
                      <w:rFonts w:ascii="Verdana" w:eastAsia="Times New Roman" w:hAnsi="Verdana" w:cs="Times New Roman"/>
                      <w:sz w:val="15"/>
                      <w:szCs w:val="15"/>
                    </w:rPr>
                    <w:t xml:space="preserve">Ami </w:t>
                  </w:r>
                  <w:proofErr w:type="spellStart"/>
                  <w:r w:rsidRPr="00BC6E08">
                    <w:rPr>
                      <w:rFonts w:ascii="Verdana" w:eastAsia="Times New Roman" w:hAnsi="Verdana" w:cs="Times New Roman"/>
                      <w:sz w:val="15"/>
                      <w:szCs w:val="15"/>
                    </w:rPr>
                    <w:t>Adini</w:t>
                  </w:r>
                  <w:proofErr w:type="spellEnd"/>
                  <w:r w:rsidRPr="00BC6E08">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BC6E08">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14AB5D2B" w14:textId="77777777" w:rsidR="00BC6E08" w:rsidRPr="00BC6E08" w:rsidRDefault="00BC6E08" w:rsidP="00BC6E08">
            <w:pPr>
              <w:spacing w:after="0" w:line="240" w:lineRule="auto"/>
              <w:jc w:val="center"/>
              <w:rPr>
                <w:rFonts w:ascii="Verdana" w:eastAsia="Times New Roman" w:hAnsi="Verdana" w:cs="Times New Roman"/>
                <w:color w:val="000000"/>
                <w:sz w:val="20"/>
                <w:szCs w:val="20"/>
              </w:rPr>
            </w:pPr>
          </w:p>
        </w:tc>
      </w:tr>
    </w:tbl>
    <w:p w14:paraId="06F56C05"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E9C"/>
    <w:multiLevelType w:val="multilevel"/>
    <w:tmpl w:val="A3BC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338D6"/>
    <w:multiLevelType w:val="multilevel"/>
    <w:tmpl w:val="4486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08"/>
    <w:rsid w:val="0055002E"/>
    <w:rsid w:val="007F7D7C"/>
    <w:rsid w:val="00BC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417A"/>
  <w15:chartTrackingRefBased/>
  <w15:docId w15:val="{FEA73799-70F9-43ED-8299-CC622FEA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E08"/>
    <w:rPr>
      <w:b/>
      <w:bCs/>
    </w:rPr>
  </w:style>
  <w:style w:type="character" w:styleId="Emphasis">
    <w:name w:val="Emphasis"/>
    <w:basedOn w:val="DefaultParagraphFont"/>
    <w:uiPriority w:val="20"/>
    <w:qFormat/>
    <w:rsid w:val="00BC6E08"/>
    <w:rPr>
      <w:i/>
      <w:iCs/>
    </w:rPr>
  </w:style>
  <w:style w:type="character" w:styleId="Hyperlink">
    <w:name w:val="Hyperlink"/>
    <w:basedOn w:val="DefaultParagraphFont"/>
    <w:uiPriority w:val="99"/>
    <w:semiHidden/>
    <w:unhideWhenUsed/>
    <w:rsid w:val="00BC6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epa.gov/oust/cat/backlog.html" TargetMode="External"/><Relationship Id="rId18" Type="http://schemas.openxmlformats.org/officeDocument/2006/relationships/hyperlink" Target="http://amiadini.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faculty.fairfield.edu/rjregan/rr372s09.htm" TargetMode="External"/><Relationship Id="rId17" Type="http://schemas.openxmlformats.org/officeDocument/2006/relationships/hyperlink" Target="mailto:mail@amiadini.com" TargetMode="External"/><Relationship Id="rId2" Type="http://schemas.openxmlformats.org/officeDocument/2006/relationships/styles" Target="styles.xml"/><Relationship Id="rId16" Type="http://schemas.openxmlformats.org/officeDocument/2006/relationships/hyperlink" Target="http://www.amiadini.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2018-10-05T01:04:00Z</dcterms:created>
  <dcterms:modified xsi:type="dcterms:W3CDTF">2018-10-05T01:06:00Z</dcterms:modified>
</cp:coreProperties>
</file>