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5475D" w14:textId="7561648A" w:rsidR="00000135" w:rsidRPr="00000135" w:rsidRDefault="00000135" w:rsidP="00000135">
      <w:pPr>
        <w:tabs>
          <w:tab w:val="left" w:pos="10286"/>
        </w:tabs>
      </w:pPr>
      <w:bookmarkStart w:id="0" w:name="_GoBack"/>
      <w:bookmarkEnd w:id="0"/>
    </w:p>
    <w:tbl>
      <w:tblPr>
        <w:tblW w:w="7500" w:type="dxa"/>
        <w:tblCellSpacing w:w="0" w:type="dxa"/>
        <w:tblBorders>
          <w:top w:val="outset" w:sz="6" w:space="0" w:color="006600"/>
          <w:left w:val="outset" w:sz="6" w:space="0" w:color="006600"/>
          <w:bottom w:val="outset" w:sz="6" w:space="0" w:color="006600"/>
          <w:right w:val="outset" w:sz="6" w:space="0" w:color="006600"/>
        </w:tblBorders>
        <w:tblCellMar>
          <w:left w:w="0" w:type="dxa"/>
          <w:right w:w="0" w:type="dxa"/>
        </w:tblCellMar>
        <w:tblLook w:val="04A0" w:firstRow="1" w:lastRow="0" w:firstColumn="1" w:lastColumn="0" w:noHBand="0" w:noVBand="1"/>
      </w:tblPr>
      <w:tblGrid>
        <w:gridCol w:w="9344"/>
      </w:tblGrid>
      <w:tr w:rsidR="00000135" w:rsidRPr="00000135" w14:paraId="6A816173" w14:textId="77777777" w:rsidTr="00000135">
        <w:trPr>
          <w:tblCellSpacing w:w="0" w:type="dxa"/>
        </w:trPr>
        <w:tc>
          <w:tcPr>
            <w:tcW w:w="0" w:type="auto"/>
            <w:tcBorders>
              <w:top w:val="outset" w:sz="6" w:space="0" w:color="006600"/>
              <w:left w:val="outset" w:sz="6" w:space="0" w:color="006600"/>
              <w:bottom w:val="outset" w:sz="6" w:space="0" w:color="006600"/>
              <w:right w:val="outset" w:sz="6" w:space="0" w:color="006600"/>
            </w:tcBorders>
            <w:hideMark/>
          </w:tcPr>
          <w:p w14:paraId="0513FA99" w14:textId="531F5DE1" w:rsidR="00000135" w:rsidRPr="00000135" w:rsidRDefault="00000135" w:rsidP="00000135">
            <w:pPr>
              <w:spacing w:after="0" w:line="240" w:lineRule="auto"/>
              <w:jc w:val="center"/>
              <w:rPr>
                <w:rFonts w:ascii="Times New Roman" w:eastAsia="Times New Roman" w:hAnsi="Times New Roman" w:cs="Times New Roman"/>
                <w:sz w:val="24"/>
                <w:szCs w:val="24"/>
              </w:rPr>
            </w:pPr>
            <w:r w:rsidRPr="00000135">
              <w:rPr>
                <w:rFonts w:ascii="Times New Roman" w:eastAsia="Times New Roman" w:hAnsi="Times New Roman" w:cs="Times New Roman"/>
                <w:noProof/>
                <w:sz w:val="24"/>
                <w:szCs w:val="24"/>
              </w:rPr>
              <w:drawing>
                <wp:inline distT="0" distB="0" distL="0" distR="0" wp14:anchorId="252F6100" wp14:editId="2E24C17B">
                  <wp:extent cx="6189345" cy="791210"/>
                  <wp:effectExtent l="0" t="0" r="1905" b="8890"/>
                  <wp:docPr id="5" name="Picture 5"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89345" cy="791210"/>
                          </a:xfrm>
                          <a:prstGeom prst="rect">
                            <a:avLst/>
                          </a:prstGeom>
                          <a:noFill/>
                          <a:ln>
                            <a:noFill/>
                          </a:ln>
                        </pic:spPr>
                      </pic:pic>
                    </a:graphicData>
                  </a:graphic>
                </wp:inline>
              </w:drawing>
            </w:r>
          </w:p>
        </w:tc>
      </w:tr>
      <w:tr w:rsidR="00000135" w:rsidRPr="00000135" w14:paraId="2FAC25E2" w14:textId="77777777" w:rsidTr="00000135">
        <w:trPr>
          <w:tblCellSpacing w:w="0" w:type="dxa"/>
        </w:trPr>
        <w:tc>
          <w:tcPr>
            <w:tcW w:w="0" w:type="auto"/>
            <w:tcBorders>
              <w:top w:val="outset" w:sz="6" w:space="0" w:color="006600"/>
              <w:left w:val="outset" w:sz="6" w:space="0" w:color="006600"/>
              <w:bottom w:val="outset" w:sz="6" w:space="0" w:color="006600"/>
              <w:right w:val="outset" w:sz="6" w:space="0" w:color="006600"/>
            </w:tcBorders>
            <w:hideMark/>
          </w:tcPr>
          <w:p w14:paraId="00845684" w14:textId="77777777" w:rsidR="00000135" w:rsidRPr="00000135" w:rsidRDefault="00000135" w:rsidP="00000135">
            <w:pPr>
              <w:spacing w:before="100" w:beforeAutospacing="1" w:after="100" w:afterAutospacing="1" w:line="240" w:lineRule="auto"/>
              <w:jc w:val="center"/>
              <w:rPr>
                <w:rFonts w:ascii="Times New Roman" w:eastAsia="Times New Roman" w:hAnsi="Times New Roman" w:cs="Times New Roman"/>
                <w:sz w:val="24"/>
                <w:szCs w:val="24"/>
              </w:rPr>
            </w:pPr>
            <w:r w:rsidRPr="00000135">
              <w:rPr>
                <w:rFonts w:ascii="Verdana" w:eastAsia="Times New Roman" w:hAnsi="Verdana" w:cs="Times New Roman"/>
                <w:sz w:val="20"/>
                <w:szCs w:val="20"/>
              </w:rPr>
              <w:br/>
            </w:r>
            <w:r w:rsidRPr="00000135">
              <w:rPr>
                <w:rFonts w:ascii="Verdana" w:eastAsia="Times New Roman" w:hAnsi="Verdana" w:cs="Times New Roman"/>
                <w:b/>
                <w:bCs/>
                <w:sz w:val="20"/>
                <w:szCs w:val="20"/>
              </w:rPr>
              <w:t>Environmental Enlightenment #240</w:t>
            </w:r>
            <w:r w:rsidRPr="00000135">
              <w:rPr>
                <w:rFonts w:ascii="Verdana" w:eastAsia="Times New Roman" w:hAnsi="Verdana" w:cs="Times New Roman"/>
                <w:sz w:val="20"/>
                <w:szCs w:val="20"/>
              </w:rPr>
              <w:br/>
              <w:t xml:space="preserve">By Ami </w:t>
            </w:r>
            <w:proofErr w:type="spellStart"/>
            <w:r w:rsidRPr="00000135">
              <w:rPr>
                <w:rFonts w:ascii="Verdana" w:eastAsia="Times New Roman" w:hAnsi="Verdana" w:cs="Times New Roman"/>
                <w:sz w:val="20"/>
                <w:szCs w:val="20"/>
              </w:rPr>
              <w:t>Adini</w:t>
            </w:r>
            <w:proofErr w:type="spellEnd"/>
            <w:r w:rsidRPr="00000135">
              <w:rPr>
                <w:rFonts w:ascii="Verdana" w:eastAsia="Times New Roman" w:hAnsi="Verdana" w:cs="Times New Roman"/>
                <w:sz w:val="20"/>
                <w:szCs w:val="20"/>
              </w:rPr>
              <w:t xml:space="preserve"> - Issued March 21, 2018</w:t>
            </w:r>
          </w:p>
          <w:tbl>
            <w:tblPr>
              <w:tblW w:w="4950" w:type="pct"/>
              <w:jc w:val="center"/>
              <w:tblCellSpacing w:w="0" w:type="dxa"/>
              <w:tblBorders>
                <w:top w:val="outset" w:sz="6" w:space="0" w:color="006633"/>
                <w:left w:val="outset" w:sz="6" w:space="0" w:color="006633"/>
                <w:bottom w:val="outset" w:sz="6" w:space="0" w:color="006633"/>
                <w:right w:val="outset" w:sz="6" w:space="0" w:color="006633"/>
              </w:tblBorders>
              <w:tblCellMar>
                <w:top w:w="30" w:type="dxa"/>
                <w:left w:w="30" w:type="dxa"/>
                <w:bottom w:w="30" w:type="dxa"/>
                <w:right w:w="30" w:type="dxa"/>
              </w:tblCellMar>
              <w:tblLook w:val="04A0" w:firstRow="1" w:lastRow="0" w:firstColumn="1" w:lastColumn="0" w:noHBand="0" w:noVBand="1"/>
            </w:tblPr>
            <w:tblGrid>
              <w:gridCol w:w="9205"/>
            </w:tblGrid>
            <w:tr w:rsidR="00000135" w:rsidRPr="00000135" w14:paraId="0EE7933F"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6FF7C258" w14:textId="77777777" w:rsidR="00000135" w:rsidRPr="00000135" w:rsidRDefault="00000135" w:rsidP="00000135">
                  <w:pPr>
                    <w:spacing w:before="100" w:beforeAutospacing="1" w:after="100" w:afterAutospacing="1" w:line="240" w:lineRule="auto"/>
                    <w:rPr>
                      <w:rFonts w:ascii="Times New Roman" w:eastAsia="Times New Roman" w:hAnsi="Times New Roman" w:cs="Times New Roman"/>
                      <w:sz w:val="24"/>
                      <w:szCs w:val="24"/>
                    </w:rPr>
                  </w:pPr>
                  <w:r w:rsidRPr="00000135">
                    <w:rPr>
                      <w:rFonts w:ascii="Verdana" w:eastAsia="Times New Roman" w:hAnsi="Verdana" w:cs="Times New Roman"/>
                      <w:sz w:val="20"/>
                      <w:szCs w:val="20"/>
                    </w:rPr>
                    <w:t xml:space="preserve">This is a SHORT, LIGHT and SIMPLE newsletter. Its purpose is to rekindle in the initiated concepts they have once </w:t>
                  </w:r>
                  <w:proofErr w:type="gramStart"/>
                  <w:r w:rsidRPr="00000135">
                    <w:rPr>
                      <w:rFonts w:ascii="Verdana" w:eastAsia="Times New Roman" w:hAnsi="Verdana" w:cs="Times New Roman"/>
                      <w:sz w:val="20"/>
                      <w:szCs w:val="20"/>
                    </w:rPr>
                    <w:t>learned, and</w:t>
                  </w:r>
                  <w:proofErr w:type="gramEnd"/>
                  <w:r w:rsidRPr="00000135">
                    <w:rPr>
                      <w:rFonts w:ascii="Verdana" w:eastAsia="Times New Roman" w:hAnsi="Verdana" w:cs="Times New Roman"/>
                      <w:sz w:val="20"/>
                      <w:szCs w:val="20"/>
                    </w:rPr>
                    <w:t xml:space="preserve"> enlighten the uninitiated on concepts they may have never heard of, but will understand once they are introduced to them.</w:t>
                  </w:r>
                </w:p>
              </w:tc>
            </w:tr>
            <w:tr w:rsidR="00000135" w:rsidRPr="00000135" w14:paraId="2A229011"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shd w:val="clear" w:color="auto" w:fill="FFFFFF"/>
                  <w:vAlign w:val="center"/>
                  <w:hideMark/>
                </w:tcPr>
                <w:p w14:paraId="65089ED8" w14:textId="77777777" w:rsidR="00000135" w:rsidRPr="00000135" w:rsidRDefault="00000135" w:rsidP="00000135">
                  <w:pPr>
                    <w:spacing w:before="100" w:beforeAutospacing="1" w:after="100" w:afterAutospacing="1" w:line="240" w:lineRule="auto"/>
                    <w:jc w:val="center"/>
                    <w:rPr>
                      <w:rFonts w:ascii="Times New Roman" w:eastAsia="Times New Roman" w:hAnsi="Times New Roman" w:cs="Times New Roman"/>
                      <w:sz w:val="24"/>
                      <w:szCs w:val="24"/>
                    </w:rPr>
                  </w:pPr>
                  <w:r w:rsidRPr="00000135">
                    <w:rPr>
                      <w:rFonts w:ascii="Verdana" w:eastAsia="Times New Roman" w:hAnsi="Verdana" w:cs="Times New Roman"/>
                      <w:b/>
                      <w:bCs/>
                      <w:color w:val="006600"/>
                      <w:sz w:val="27"/>
                      <w:szCs w:val="27"/>
                    </w:rPr>
                    <w:t>Reducing Environmental-risk Concerns in the Real Estate Transaction</w:t>
                  </w:r>
                </w:p>
                <w:p w14:paraId="16C29ED6" w14:textId="673949F1" w:rsidR="00000135" w:rsidRPr="00000135" w:rsidRDefault="00000135" w:rsidP="00000135">
                  <w:pPr>
                    <w:spacing w:before="100" w:beforeAutospacing="1" w:after="100" w:afterAutospacing="1" w:line="240" w:lineRule="auto"/>
                    <w:jc w:val="center"/>
                    <w:rPr>
                      <w:rFonts w:ascii="Times New Roman" w:eastAsia="Times New Roman" w:hAnsi="Times New Roman" w:cs="Times New Roman"/>
                      <w:sz w:val="24"/>
                      <w:szCs w:val="24"/>
                    </w:rPr>
                  </w:pPr>
                  <w:r w:rsidRPr="00000135">
                    <w:rPr>
                      <w:rFonts w:ascii="Times New Roman" w:eastAsia="Times New Roman" w:hAnsi="Times New Roman" w:cs="Times New Roman"/>
                      <w:noProof/>
                      <w:sz w:val="24"/>
                      <w:szCs w:val="24"/>
                    </w:rPr>
                    <w:drawing>
                      <wp:inline distT="0" distB="0" distL="0" distR="0" wp14:anchorId="25A908E7" wp14:editId="66585ECA">
                        <wp:extent cx="5240655" cy="3515360"/>
                        <wp:effectExtent l="0" t="0" r="0" b="8890"/>
                        <wp:docPr id="4" name="Picture 4" descr="http://amiadini.com/NewsletterArchive/180321-NL240/envEnl-240_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80321-NL240/envEnl-240_clip_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0655" cy="3515360"/>
                                </a:xfrm>
                                <a:prstGeom prst="rect">
                                  <a:avLst/>
                                </a:prstGeom>
                                <a:noFill/>
                                <a:ln>
                                  <a:noFill/>
                                </a:ln>
                              </pic:spPr>
                            </pic:pic>
                          </a:graphicData>
                        </a:graphic>
                      </wp:inline>
                    </w:drawing>
                  </w:r>
                  <w:r w:rsidRPr="00000135">
                    <w:rPr>
                      <w:rFonts w:ascii="Times New Roman" w:eastAsia="Times New Roman" w:hAnsi="Times New Roman" w:cs="Times New Roman"/>
                      <w:sz w:val="24"/>
                      <w:szCs w:val="24"/>
                    </w:rPr>
                    <w:br/>
                  </w:r>
                  <w:r w:rsidRPr="00000135">
                    <w:rPr>
                      <w:rFonts w:ascii="Verdana" w:eastAsia="Times New Roman" w:hAnsi="Verdana" w:cs="Times New Roman"/>
                      <w:sz w:val="15"/>
                      <w:szCs w:val="15"/>
                    </w:rPr>
                    <w:t>Belshazzar's Feast (Rembrandt) 1635</w:t>
                  </w:r>
                </w:p>
                <w:p w14:paraId="43542D77" w14:textId="77777777" w:rsidR="00000135" w:rsidRPr="00000135" w:rsidRDefault="00000135" w:rsidP="00000135">
                  <w:pPr>
                    <w:spacing w:before="100" w:beforeAutospacing="1" w:after="100" w:afterAutospacing="1" w:line="240" w:lineRule="auto"/>
                    <w:rPr>
                      <w:rFonts w:ascii="Times New Roman" w:eastAsia="Times New Roman" w:hAnsi="Times New Roman" w:cs="Times New Roman"/>
                      <w:sz w:val="24"/>
                      <w:szCs w:val="24"/>
                    </w:rPr>
                  </w:pPr>
                  <w:r w:rsidRPr="00000135">
                    <w:rPr>
                      <w:rFonts w:ascii="Verdana" w:eastAsia="Times New Roman" w:hAnsi="Verdana" w:cs="Times New Roman"/>
                      <w:sz w:val="20"/>
                      <w:szCs w:val="20"/>
                    </w:rPr>
                    <w:t>“Take calculated risks. That is quite different from being rash.” — General George Patton</w:t>
                  </w:r>
                </w:p>
                <w:p w14:paraId="0F611124" w14:textId="77777777" w:rsidR="00000135" w:rsidRPr="00000135" w:rsidRDefault="00000135" w:rsidP="00000135">
                  <w:pPr>
                    <w:spacing w:before="100" w:beforeAutospacing="1" w:after="100" w:afterAutospacing="1" w:line="240" w:lineRule="auto"/>
                    <w:rPr>
                      <w:rFonts w:ascii="Times New Roman" w:eastAsia="Times New Roman" w:hAnsi="Times New Roman" w:cs="Times New Roman"/>
                      <w:sz w:val="24"/>
                      <w:szCs w:val="24"/>
                    </w:rPr>
                  </w:pPr>
                  <w:r w:rsidRPr="00000135">
                    <w:rPr>
                      <w:rFonts w:ascii="Verdana" w:eastAsia="Times New Roman" w:hAnsi="Verdana" w:cs="Times New Roman"/>
                      <w:sz w:val="20"/>
                      <w:szCs w:val="20"/>
                    </w:rPr>
                    <w:t>Dealing with contaminated properties poses certain risks that can be estimated to the degree that they can be understood; and understanding is brought about through communication.</w:t>
                  </w:r>
                </w:p>
                <w:p w14:paraId="19DB3C91" w14:textId="77777777" w:rsidR="00000135" w:rsidRPr="00000135" w:rsidRDefault="00000135" w:rsidP="00000135">
                  <w:pPr>
                    <w:spacing w:before="100" w:beforeAutospacing="1" w:after="100" w:afterAutospacing="1" w:line="240" w:lineRule="auto"/>
                    <w:rPr>
                      <w:rFonts w:ascii="Times New Roman" w:eastAsia="Times New Roman" w:hAnsi="Times New Roman" w:cs="Times New Roman"/>
                      <w:sz w:val="24"/>
                      <w:szCs w:val="24"/>
                    </w:rPr>
                  </w:pPr>
                  <w:r w:rsidRPr="00000135">
                    <w:rPr>
                      <w:rFonts w:ascii="Verdana" w:eastAsia="Times New Roman" w:hAnsi="Verdana" w:cs="Times New Roman"/>
                      <w:sz w:val="20"/>
                      <w:szCs w:val="20"/>
                    </w:rPr>
                    <w:t>Communication of concepts is an interesting affair. We take physical nothingness (thought) and convert it to material somethingness (sound waves, printed word, or painted canvass) that is transmitted by sound, sight or touch to a receiving person with the aim to create another nothingness (understanding) in the receiver of the communication, and with the ultimate objective to bring into being something physical in the real world.</w:t>
                  </w:r>
                </w:p>
                <w:tbl>
                  <w:tblPr>
                    <w:tblW w:w="4500" w:type="pct"/>
                    <w:jc w:val="center"/>
                    <w:tblCellSpacing w:w="0" w:type="dxa"/>
                    <w:tblCellMar>
                      <w:left w:w="0" w:type="dxa"/>
                      <w:right w:w="0" w:type="dxa"/>
                    </w:tblCellMar>
                    <w:tblLook w:val="04A0" w:firstRow="1" w:lastRow="0" w:firstColumn="1" w:lastColumn="0" w:noHBand="0" w:noVBand="1"/>
                  </w:tblPr>
                  <w:tblGrid>
                    <w:gridCol w:w="4530"/>
                    <w:gridCol w:w="300"/>
                    <w:gridCol w:w="3374"/>
                  </w:tblGrid>
                  <w:tr w:rsidR="00000135" w:rsidRPr="00000135" w14:paraId="22AF455A" w14:textId="77777777">
                    <w:trPr>
                      <w:tblCellSpacing w:w="0" w:type="dxa"/>
                      <w:jc w:val="center"/>
                    </w:trPr>
                    <w:tc>
                      <w:tcPr>
                        <w:tcW w:w="0" w:type="auto"/>
                        <w:vAlign w:val="center"/>
                        <w:hideMark/>
                      </w:tcPr>
                      <w:p w14:paraId="0AAF39C8" w14:textId="77777777" w:rsidR="00000135" w:rsidRPr="00000135" w:rsidRDefault="00000135" w:rsidP="00000135">
                        <w:pPr>
                          <w:spacing w:before="100" w:beforeAutospacing="1" w:after="100" w:afterAutospacing="1" w:line="240" w:lineRule="auto"/>
                          <w:rPr>
                            <w:rFonts w:ascii="Times New Roman" w:eastAsia="Times New Roman" w:hAnsi="Times New Roman" w:cs="Times New Roman"/>
                            <w:sz w:val="24"/>
                            <w:szCs w:val="24"/>
                          </w:rPr>
                        </w:pPr>
                        <w:r w:rsidRPr="00000135">
                          <w:rPr>
                            <w:rFonts w:ascii="Verdana" w:eastAsia="Times New Roman" w:hAnsi="Verdana" w:cs="Times New Roman"/>
                            <w:sz w:val="20"/>
                            <w:szCs w:val="20"/>
                          </w:rPr>
                          <w:t>We use pictures and diagrams in our newsletters to assist in this process. We find that clear pictures with ample space promote understanding.</w:t>
                        </w:r>
                        <w:r w:rsidRPr="00000135">
                          <w:rPr>
                            <w:rFonts w:ascii="Verdana" w:eastAsia="Times New Roman" w:hAnsi="Verdana" w:cs="Times New Roman"/>
                            <w:sz w:val="20"/>
                            <w:szCs w:val="20"/>
                          </w:rPr>
                          <w:br/>
                        </w:r>
                        <w:r w:rsidRPr="00000135">
                          <w:rPr>
                            <w:rFonts w:ascii="Verdana" w:eastAsia="Times New Roman" w:hAnsi="Verdana" w:cs="Times New Roman"/>
                            <w:sz w:val="20"/>
                            <w:szCs w:val="20"/>
                          </w:rPr>
                          <w:br/>
                        </w:r>
                        <w:r w:rsidRPr="00000135">
                          <w:rPr>
                            <w:rFonts w:ascii="Verdana" w:eastAsia="Times New Roman" w:hAnsi="Verdana" w:cs="Times New Roman"/>
                            <w:sz w:val="20"/>
                            <w:szCs w:val="20"/>
                          </w:rPr>
                          <w:br/>
                          <w:t>Pictures are only analogy; they are not the thing.</w:t>
                        </w:r>
                        <w:r w:rsidRPr="00000135">
                          <w:rPr>
                            <w:rFonts w:ascii="Verdana" w:eastAsia="Times New Roman" w:hAnsi="Verdana" w:cs="Times New Roman"/>
                            <w:sz w:val="20"/>
                            <w:szCs w:val="20"/>
                          </w:rPr>
                          <w:br/>
                        </w:r>
                        <w:r w:rsidRPr="00000135">
                          <w:rPr>
                            <w:rFonts w:ascii="Verdana" w:eastAsia="Times New Roman" w:hAnsi="Verdana" w:cs="Times New Roman"/>
                            <w:sz w:val="20"/>
                            <w:szCs w:val="20"/>
                          </w:rPr>
                          <w:br/>
                        </w:r>
                        <w:r w:rsidRPr="00000135">
                          <w:rPr>
                            <w:rFonts w:ascii="Verdana" w:eastAsia="Times New Roman" w:hAnsi="Verdana" w:cs="Times New Roman"/>
                            <w:sz w:val="20"/>
                            <w:szCs w:val="20"/>
                          </w:rPr>
                          <w:br/>
                          <w:t>In depicting God, Michelangelo chose a representation of a bearded male with hair flying in the wind. We assume that the artist was aware of the basic concept of the Eternal: that which has no mass, no gender, no form, and no location in time or space, except by choice.</w:t>
                        </w:r>
                      </w:p>
                    </w:tc>
                    <w:tc>
                      <w:tcPr>
                        <w:tcW w:w="300" w:type="dxa"/>
                        <w:vAlign w:val="center"/>
                        <w:hideMark/>
                      </w:tcPr>
                      <w:p w14:paraId="7F485C7C" w14:textId="77777777" w:rsidR="00000135" w:rsidRPr="00000135" w:rsidRDefault="00000135" w:rsidP="00000135">
                        <w:pPr>
                          <w:spacing w:after="0" w:line="240" w:lineRule="auto"/>
                          <w:rPr>
                            <w:rFonts w:ascii="Times New Roman" w:eastAsia="Times New Roman" w:hAnsi="Times New Roman" w:cs="Times New Roman"/>
                            <w:sz w:val="24"/>
                            <w:szCs w:val="24"/>
                          </w:rPr>
                        </w:pPr>
                        <w:r w:rsidRPr="00000135">
                          <w:rPr>
                            <w:rFonts w:ascii="Times New Roman" w:eastAsia="Times New Roman" w:hAnsi="Times New Roman" w:cs="Times New Roman"/>
                            <w:sz w:val="24"/>
                            <w:szCs w:val="24"/>
                          </w:rPr>
                          <w:t> </w:t>
                        </w:r>
                      </w:p>
                    </w:tc>
                    <w:tc>
                      <w:tcPr>
                        <w:tcW w:w="0" w:type="auto"/>
                        <w:vAlign w:val="center"/>
                        <w:hideMark/>
                      </w:tcPr>
                      <w:p w14:paraId="1610EF0B" w14:textId="707705CB" w:rsidR="00000135" w:rsidRPr="00000135" w:rsidRDefault="00000135" w:rsidP="00000135">
                        <w:pPr>
                          <w:spacing w:before="100" w:beforeAutospacing="1" w:after="100" w:afterAutospacing="1" w:line="240" w:lineRule="auto"/>
                          <w:jc w:val="center"/>
                          <w:rPr>
                            <w:rFonts w:ascii="Times New Roman" w:eastAsia="Times New Roman" w:hAnsi="Times New Roman" w:cs="Times New Roman"/>
                            <w:sz w:val="24"/>
                            <w:szCs w:val="24"/>
                          </w:rPr>
                        </w:pPr>
                        <w:r w:rsidRPr="00000135">
                          <w:rPr>
                            <w:rFonts w:ascii="Times New Roman" w:eastAsia="Times New Roman" w:hAnsi="Times New Roman" w:cs="Times New Roman"/>
                            <w:noProof/>
                            <w:sz w:val="24"/>
                            <w:szCs w:val="24"/>
                          </w:rPr>
                          <w:drawing>
                            <wp:inline distT="0" distB="0" distL="0" distR="0" wp14:anchorId="60C75FD5" wp14:editId="4C68EDC9">
                              <wp:extent cx="2143760" cy="3007995"/>
                              <wp:effectExtent l="0" t="0" r="8890" b="1905"/>
                              <wp:docPr id="3" name="Picture 3" descr="http://amiadini.com/NewsletterArchive/180321-NL240/envEnl-240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80321-NL240/envEnl-240_clip_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760" cy="3007995"/>
                                      </a:xfrm>
                                      <a:prstGeom prst="rect">
                                        <a:avLst/>
                                      </a:prstGeom>
                                      <a:noFill/>
                                      <a:ln>
                                        <a:noFill/>
                                      </a:ln>
                                    </pic:spPr>
                                  </pic:pic>
                                </a:graphicData>
                              </a:graphic>
                            </wp:inline>
                          </w:drawing>
                        </w:r>
                        <w:r w:rsidRPr="00000135">
                          <w:rPr>
                            <w:rFonts w:ascii="Times New Roman" w:eastAsia="Times New Roman" w:hAnsi="Times New Roman" w:cs="Times New Roman"/>
                            <w:sz w:val="24"/>
                            <w:szCs w:val="24"/>
                          </w:rPr>
                          <w:br/>
                        </w:r>
                        <w:r w:rsidRPr="00000135">
                          <w:rPr>
                            <w:rFonts w:ascii="Verdana" w:eastAsia="Times New Roman" w:hAnsi="Verdana" w:cs="Times New Roman"/>
                            <w:sz w:val="15"/>
                            <w:szCs w:val="15"/>
                          </w:rPr>
                          <w:t>Michelangelo, Rome’s Sistine Chapel 1512</w:t>
                        </w:r>
                      </w:p>
                    </w:tc>
                  </w:tr>
                </w:tbl>
                <w:p w14:paraId="390444B2" w14:textId="77777777" w:rsidR="00000135" w:rsidRPr="00000135" w:rsidRDefault="00000135" w:rsidP="00000135">
                  <w:pPr>
                    <w:spacing w:before="100" w:beforeAutospacing="1" w:after="100" w:afterAutospacing="1" w:line="240" w:lineRule="auto"/>
                    <w:jc w:val="center"/>
                    <w:rPr>
                      <w:rFonts w:ascii="Times New Roman" w:eastAsia="Times New Roman" w:hAnsi="Times New Roman" w:cs="Times New Roman"/>
                      <w:sz w:val="24"/>
                      <w:szCs w:val="24"/>
                    </w:rPr>
                  </w:pPr>
                  <w:r w:rsidRPr="00000135">
                    <w:rPr>
                      <w:rFonts w:ascii="Times New Roman" w:eastAsia="Times New Roman" w:hAnsi="Times New Roman" w:cs="Times New Roman"/>
                      <w:sz w:val="24"/>
                      <w:szCs w:val="24"/>
                    </w:rPr>
                    <w:t> </w:t>
                  </w:r>
                </w:p>
                <w:tbl>
                  <w:tblPr>
                    <w:tblW w:w="4500" w:type="pct"/>
                    <w:jc w:val="center"/>
                    <w:tblCellSpacing w:w="0" w:type="dxa"/>
                    <w:tblCellMar>
                      <w:left w:w="0" w:type="dxa"/>
                      <w:right w:w="0" w:type="dxa"/>
                    </w:tblCellMar>
                    <w:tblLook w:val="04A0" w:firstRow="1" w:lastRow="0" w:firstColumn="1" w:lastColumn="0" w:noHBand="0" w:noVBand="1"/>
                  </w:tblPr>
                  <w:tblGrid>
                    <w:gridCol w:w="4724"/>
                    <w:gridCol w:w="300"/>
                    <w:gridCol w:w="3180"/>
                  </w:tblGrid>
                  <w:tr w:rsidR="00000135" w:rsidRPr="00000135" w14:paraId="760DC209" w14:textId="77777777">
                    <w:trPr>
                      <w:tblCellSpacing w:w="0" w:type="dxa"/>
                      <w:jc w:val="center"/>
                    </w:trPr>
                    <w:tc>
                      <w:tcPr>
                        <w:tcW w:w="0" w:type="auto"/>
                        <w:vAlign w:val="center"/>
                        <w:hideMark/>
                      </w:tcPr>
                      <w:p w14:paraId="73CC2093" w14:textId="77777777" w:rsidR="00000135" w:rsidRPr="00000135" w:rsidRDefault="00000135" w:rsidP="00000135">
                        <w:pPr>
                          <w:spacing w:before="100" w:beforeAutospacing="1" w:after="240" w:line="240" w:lineRule="auto"/>
                          <w:rPr>
                            <w:rFonts w:ascii="Times New Roman" w:eastAsia="Times New Roman" w:hAnsi="Times New Roman" w:cs="Times New Roman"/>
                            <w:sz w:val="24"/>
                            <w:szCs w:val="24"/>
                          </w:rPr>
                        </w:pPr>
                        <w:r w:rsidRPr="00000135">
                          <w:rPr>
                            <w:rFonts w:ascii="Verdana" w:eastAsia="Times New Roman" w:hAnsi="Verdana" w:cs="Times New Roman"/>
                            <w:sz w:val="20"/>
                            <w:szCs w:val="20"/>
                          </w:rPr>
                          <w:t>Similarly, one is reminded that pictures of atoms and molecules are not atoms or molecules. These are renditions in the attempt to achieve a workable understanding that enables us build homes, car engines, and smart phones. It may happen one day, when we attempt to reach the stars, that our current understanding of the atom will prove incorrect. It was good enough to build cars, but not to break through the speed of light.</w:t>
                        </w:r>
                        <w:r w:rsidRPr="00000135">
                          <w:rPr>
                            <w:rFonts w:ascii="Verdana" w:eastAsia="Times New Roman" w:hAnsi="Verdana" w:cs="Times New Roman"/>
                            <w:sz w:val="20"/>
                            <w:szCs w:val="20"/>
                          </w:rPr>
                          <w:br/>
                        </w:r>
                      </w:p>
                    </w:tc>
                    <w:tc>
                      <w:tcPr>
                        <w:tcW w:w="300" w:type="dxa"/>
                        <w:vAlign w:val="center"/>
                        <w:hideMark/>
                      </w:tcPr>
                      <w:p w14:paraId="790AA547" w14:textId="77777777" w:rsidR="00000135" w:rsidRPr="00000135" w:rsidRDefault="00000135" w:rsidP="00000135">
                        <w:pPr>
                          <w:spacing w:after="0" w:line="240" w:lineRule="auto"/>
                          <w:rPr>
                            <w:rFonts w:ascii="Times New Roman" w:eastAsia="Times New Roman" w:hAnsi="Times New Roman" w:cs="Times New Roman"/>
                            <w:sz w:val="24"/>
                            <w:szCs w:val="24"/>
                          </w:rPr>
                        </w:pPr>
                        <w:r w:rsidRPr="00000135">
                          <w:rPr>
                            <w:rFonts w:ascii="Times New Roman" w:eastAsia="Times New Roman" w:hAnsi="Times New Roman" w:cs="Times New Roman"/>
                            <w:sz w:val="24"/>
                            <w:szCs w:val="24"/>
                          </w:rPr>
                          <w:t> </w:t>
                        </w:r>
                      </w:p>
                    </w:tc>
                    <w:tc>
                      <w:tcPr>
                        <w:tcW w:w="0" w:type="auto"/>
                        <w:vAlign w:val="center"/>
                        <w:hideMark/>
                      </w:tcPr>
                      <w:p w14:paraId="28739AFE" w14:textId="15969105" w:rsidR="00000135" w:rsidRPr="00000135" w:rsidRDefault="00000135" w:rsidP="00000135">
                        <w:pPr>
                          <w:spacing w:before="100" w:beforeAutospacing="1" w:after="100" w:afterAutospacing="1" w:line="240" w:lineRule="auto"/>
                          <w:jc w:val="center"/>
                          <w:rPr>
                            <w:rFonts w:ascii="Times New Roman" w:eastAsia="Times New Roman" w:hAnsi="Times New Roman" w:cs="Times New Roman"/>
                            <w:sz w:val="24"/>
                            <w:szCs w:val="24"/>
                          </w:rPr>
                        </w:pPr>
                        <w:r w:rsidRPr="00000135">
                          <w:rPr>
                            <w:rFonts w:ascii="Times New Roman" w:eastAsia="Times New Roman" w:hAnsi="Times New Roman" w:cs="Times New Roman"/>
                            <w:noProof/>
                            <w:sz w:val="24"/>
                            <w:szCs w:val="24"/>
                          </w:rPr>
                          <w:drawing>
                            <wp:inline distT="0" distB="0" distL="0" distR="0" wp14:anchorId="5BB44705" wp14:editId="1F6234F6">
                              <wp:extent cx="2021205" cy="1759585"/>
                              <wp:effectExtent l="0" t="0" r="0" b="0"/>
                              <wp:docPr id="2" name="Picture 2" descr="http://amiadini.com/NewsletterArchive/180321-NL240/envEnl-240_clip_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adini.com/NewsletterArchive/180321-NL240/envEnl-240_clip_image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05" cy="1759585"/>
                                      </a:xfrm>
                                      <a:prstGeom prst="rect">
                                        <a:avLst/>
                                      </a:prstGeom>
                                      <a:noFill/>
                                      <a:ln>
                                        <a:noFill/>
                                      </a:ln>
                                    </pic:spPr>
                                  </pic:pic>
                                </a:graphicData>
                              </a:graphic>
                            </wp:inline>
                          </w:drawing>
                        </w:r>
                        <w:r w:rsidRPr="00000135">
                          <w:rPr>
                            <w:rFonts w:ascii="Times New Roman" w:eastAsia="Times New Roman" w:hAnsi="Times New Roman" w:cs="Times New Roman"/>
                            <w:sz w:val="24"/>
                            <w:szCs w:val="24"/>
                          </w:rPr>
                          <w:br/>
                        </w:r>
                        <w:hyperlink r:id="rId8" w:tgtFrame="_blank" w:history="1">
                          <w:r w:rsidRPr="00000135">
                            <w:rPr>
                              <w:rFonts w:ascii="Verdana" w:eastAsia="Times New Roman" w:hAnsi="Verdana" w:cs="Times New Roman"/>
                              <w:color w:val="0000FF"/>
                              <w:sz w:val="15"/>
                              <w:szCs w:val="15"/>
                              <w:u w:val="single"/>
                            </w:rPr>
                            <w:t>Pixabay.com</w:t>
                          </w:r>
                        </w:hyperlink>
                      </w:p>
                    </w:tc>
                  </w:tr>
                </w:tbl>
                <w:p w14:paraId="08D9C337" w14:textId="77777777" w:rsidR="00000135" w:rsidRPr="00000135" w:rsidRDefault="00000135" w:rsidP="00000135">
                  <w:pPr>
                    <w:spacing w:before="100" w:beforeAutospacing="1" w:after="100" w:afterAutospacing="1" w:line="240" w:lineRule="auto"/>
                    <w:rPr>
                      <w:rFonts w:ascii="Times New Roman" w:eastAsia="Times New Roman" w:hAnsi="Times New Roman" w:cs="Times New Roman"/>
                      <w:sz w:val="24"/>
                      <w:szCs w:val="24"/>
                    </w:rPr>
                  </w:pPr>
                  <w:r w:rsidRPr="00000135">
                    <w:rPr>
                      <w:rFonts w:ascii="Verdana" w:eastAsia="Times New Roman" w:hAnsi="Verdana" w:cs="Times New Roman"/>
                      <w:sz w:val="20"/>
                      <w:szCs w:val="20"/>
                    </w:rPr>
                    <w:t>We learn best by touch, sight and smell of real objects and transformation of these sensory perceptions to mental concepts. To get a good concept of dining tables, one would need to see, touch, smell, measure and weigh a variety of tables until a thought-concept is formed in the mind. One would then be able to recognize dining tables of any history, shape or material. Even rocks will serve. When the concept is reached, the mental computation can move fast with no need to real objects or even their pictures anymore.</w:t>
                  </w:r>
                </w:p>
                <w:p w14:paraId="2522D6D8" w14:textId="598289A1" w:rsidR="00000135" w:rsidRPr="00000135" w:rsidRDefault="00000135" w:rsidP="00000135">
                  <w:pPr>
                    <w:spacing w:before="100" w:beforeAutospacing="1" w:after="100" w:afterAutospacing="1" w:line="240" w:lineRule="auto"/>
                    <w:jc w:val="center"/>
                    <w:rPr>
                      <w:rFonts w:ascii="Times New Roman" w:eastAsia="Times New Roman" w:hAnsi="Times New Roman" w:cs="Times New Roman"/>
                      <w:sz w:val="24"/>
                      <w:szCs w:val="24"/>
                    </w:rPr>
                  </w:pPr>
                  <w:r w:rsidRPr="00000135">
                    <w:rPr>
                      <w:rFonts w:ascii="Times New Roman" w:eastAsia="Times New Roman" w:hAnsi="Times New Roman" w:cs="Times New Roman"/>
                      <w:noProof/>
                      <w:sz w:val="24"/>
                      <w:szCs w:val="24"/>
                    </w:rPr>
                    <w:drawing>
                      <wp:inline distT="0" distB="0" distL="0" distR="0" wp14:anchorId="2E156016" wp14:editId="65DFE5DF">
                        <wp:extent cx="5086985" cy="3027680"/>
                        <wp:effectExtent l="0" t="0" r="0" b="1270"/>
                        <wp:docPr id="1" name="Picture 1" descr="http://amiadini.com/NewsletterArchive/180321-NL240/envEnl-240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iadini.com/NewsletterArchive/180321-NL240/envEnl-240_clip_image0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985" cy="3027680"/>
                                </a:xfrm>
                                <a:prstGeom prst="rect">
                                  <a:avLst/>
                                </a:prstGeom>
                                <a:noFill/>
                                <a:ln>
                                  <a:noFill/>
                                </a:ln>
                              </pic:spPr>
                            </pic:pic>
                          </a:graphicData>
                        </a:graphic>
                      </wp:inline>
                    </w:drawing>
                  </w:r>
                  <w:r w:rsidRPr="00000135">
                    <w:rPr>
                      <w:rFonts w:ascii="Times New Roman" w:eastAsia="Times New Roman" w:hAnsi="Times New Roman" w:cs="Times New Roman"/>
                      <w:sz w:val="24"/>
                      <w:szCs w:val="24"/>
                    </w:rPr>
                    <w:br/>
                  </w:r>
                  <w:hyperlink r:id="rId10" w:tgtFrame="_blank" w:history="1">
                    <w:r w:rsidRPr="00000135">
                      <w:rPr>
                        <w:rFonts w:ascii="Verdana" w:eastAsia="Times New Roman" w:hAnsi="Verdana" w:cs="Times New Roman"/>
                        <w:color w:val="0000FF"/>
                        <w:sz w:val="15"/>
                        <w:szCs w:val="15"/>
                        <w:u w:val="single"/>
                      </w:rPr>
                      <w:t>Pixabay.com</w:t>
                    </w:r>
                  </w:hyperlink>
                </w:p>
                <w:p w14:paraId="4498E958" w14:textId="77777777" w:rsidR="00000135" w:rsidRPr="00000135" w:rsidRDefault="00000135" w:rsidP="00000135">
                  <w:pPr>
                    <w:spacing w:before="100" w:beforeAutospacing="1" w:after="100" w:afterAutospacing="1" w:line="240" w:lineRule="auto"/>
                    <w:rPr>
                      <w:rFonts w:ascii="Times New Roman" w:eastAsia="Times New Roman" w:hAnsi="Times New Roman" w:cs="Times New Roman"/>
                      <w:sz w:val="24"/>
                      <w:szCs w:val="24"/>
                    </w:rPr>
                  </w:pPr>
                  <w:r w:rsidRPr="00000135">
                    <w:rPr>
                      <w:rFonts w:ascii="Verdana" w:eastAsia="Times New Roman" w:hAnsi="Verdana" w:cs="Times New Roman"/>
                      <w:sz w:val="20"/>
                      <w:szCs w:val="20"/>
                    </w:rPr>
                    <w:t>Our newsletters aim to provide practical knowledge that will enable readers to approach transactions in contaminated properties with comfort. We strive at good balance between words and images to facilitate comfortable assimilation of that knowledge.</w:t>
                  </w:r>
                </w:p>
                <w:p w14:paraId="393CBCBF" w14:textId="77777777" w:rsidR="00000135" w:rsidRPr="00000135" w:rsidRDefault="00000135" w:rsidP="00000135">
                  <w:pPr>
                    <w:spacing w:before="100" w:beforeAutospacing="1" w:after="100" w:afterAutospacing="1" w:line="240" w:lineRule="auto"/>
                    <w:jc w:val="center"/>
                    <w:rPr>
                      <w:rFonts w:ascii="Times New Roman" w:eastAsia="Times New Roman" w:hAnsi="Times New Roman" w:cs="Times New Roman"/>
                      <w:sz w:val="24"/>
                      <w:szCs w:val="24"/>
                    </w:rPr>
                  </w:pPr>
                  <w:r w:rsidRPr="00000135">
                    <w:rPr>
                      <w:rFonts w:ascii="Times New Roman" w:eastAsia="Times New Roman" w:hAnsi="Times New Roman" w:cs="Times New Roman"/>
                      <w:sz w:val="24"/>
                      <w:szCs w:val="24"/>
                    </w:rPr>
                    <w:t> </w:t>
                  </w:r>
                </w:p>
                <w:p w14:paraId="6A21B4D0" w14:textId="77777777" w:rsidR="00000135" w:rsidRPr="00000135" w:rsidRDefault="00000135" w:rsidP="00000135">
                  <w:pPr>
                    <w:spacing w:before="100" w:beforeAutospacing="1" w:after="100" w:afterAutospacing="1" w:line="240" w:lineRule="auto"/>
                    <w:jc w:val="center"/>
                    <w:rPr>
                      <w:rFonts w:ascii="Times New Roman" w:eastAsia="Times New Roman" w:hAnsi="Times New Roman" w:cs="Times New Roman"/>
                      <w:sz w:val="24"/>
                      <w:szCs w:val="24"/>
                    </w:rPr>
                  </w:pPr>
                  <w:r w:rsidRPr="00000135">
                    <w:rPr>
                      <w:rFonts w:ascii="Times New Roman" w:eastAsia="Times New Roman" w:hAnsi="Times New Roman" w:cs="Times New Roman"/>
                      <w:sz w:val="24"/>
                      <w:szCs w:val="24"/>
                    </w:rPr>
                    <w:t> </w:t>
                  </w:r>
                </w:p>
              </w:tc>
            </w:tr>
            <w:tr w:rsidR="00000135" w:rsidRPr="00000135" w14:paraId="3F70C954"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0AFDA35C" w14:textId="77777777" w:rsidR="00000135" w:rsidRPr="00000135" w:rsidRDefault="00000135" w:rsidP="00000135">
                  <w:pPr>
                    <w:spacing w:before="100" w:beforeAutospacing="1" w:after="100" w:afterAutospacing="1" w:line="240" w:lineRule="auto"/>
                    <w:rPr>
                      <w:rFonts w:ascii="Times New Roman" w:eastAsia="Times New Roman" w:hAnsi="Times New Roman" w:cs="Times New Roman"/>
                      <w:sz w:val="24"/>
                      <w:szCs w:val="24"/>
                    </w:rPr>
                  </w:pPr>
                  <w:r w:rsidRPr="00000135">
                    <w:rPr>
                      <w:rFonts w:ascii="Verdana" w:eastAsia="Times New Roman" w:hAnsi="Verdana" w:cs="Times New Roman"/>
                      <w:sz w:val="20"/>
                      <w:szCs w:val="20"/>
                    </w:rPr>
                    <w:t>You can find past issues of our "Environmental Enlightenment" at </w:t>
                  </w:r>
                  <w:hyperlink r:id="rId11" w:history="1">
                    <w:r w:rsidRPr="00000135">
                      <w:rPr>
                        <w:rFonts w:ascii="Verdana" w:eastAsia="Times New Roman" w:hAnsi="Verdana" w:cs="Times New Roman"/>
                        <w:color w:val="0000FF"/>
                        <w:sz w:val="20"/>
                        <w:szCs w:val="20"/>
                        <w:u w:val="single"/>
                      </w:rPr>
                      <w:t>amiadini.com</w:t>
                    </w:r>
                  </w:hyperlink>
                  <w:r w:rsidRPr="00000135">
                    <w:rPr>
                      <w:rFonts w:ascii="Verdana" w:eastAsia="Times New Roman" w:hAnsi="Verdana" w:cs="Times New Roman"/>
                      <w:sz w:val="20"/>
                      <w:szCs w:val="20"/>
                    </w:rPr>
                    <w:t> Wealth of information about environmental site assessments in the real estate transactions and issues concerning assessment and cleanup of contamination in the subsurface soil and groundwater.</w:t>
                  </w:r>
                </w:p>
              </w:tc>
            </w:tr>
          </w:tbl>
          <w:p w14:paraId="64E86B3D" w14:textId="77777777" w:rsidR="00000135" w:rsidRPr="00000135" w:rsidRDefault="00000135" w:rsidP="00000135">
            <w:pPr>
              <w:spacing w:after="0" w:line="240" w:lineRule="auto"/>
              <w:jc w:val="center"/>
              <w:rPr>
                <w:rFonts w:ascii="Times New Roman" w:eastAsia="Times New Roman" w:hAnsi="Times New Roman" w:cs="Times New Roman"/>
                <w:vanish/>
                <w:sz w:val="24"/>
                <w:szCs w:val="24"/>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000135" w:rsidRPr="00000135" w14:paraId="2B295301" w14:textId="77777777">
              <w:trPr>
                <w:tblCellSpacing w:w="0" w:type="dxa"/>
                <w:jc w:val="center"/>
              </w:trPr>
              <w:tc>
                <w:tcPr>
                  <w:tcW w:w="0" w:type="auto"/>
                  <w:vAlign w:val="center"/>
                  <w:hideMark/>
                </w:tcPr>
                <w:p w14:paraId="4366E731" w14:textId="77777777" w:rsidR="00000135" w:rsidRPr="00000135" w:rsidRDefault="00000135" w:rsidP="00000135">
                  <w:pPr>
                    <w:spacing w:before="100" w:beforeAutospacing="1" w:after="100" w:afterAutospacing="1" w:line="240" w:lineRule="auto"/>
                    <w:jc w:val="center"/>
                    <w:rPr>
                      <w:rFonts w:ascii="Times New Roman" w:eastAsia="Times New Roman" w:hAnsi="Times New Roman" w:cs="Times New Roman"/>
                      <w:sz w:val="24"/>
                      <w:szCs w:val="24"/>
                    </w:rPr>
                  </w:pPr>
                  <w:r w:rsidRPr="00000135">
                    <w:rPr>
                      <w:rFonts w:ascii="Verdana" w:eastAsia="Times New Roman" w:hAnsi="Verdana" w:cs="Times New Roman"/>
                      <w:sz w:val="20"/>
                      <w:szCs w:val="20"/>
                    </w:rPr>
                    <w:t>Call me if you have any questions. There are </w:t>
                  </w:r>
                  <w:r w:rsidRPr="00000135">
                    <w:rPr>
                      <w:rFonts w:ascii="Verdana" w:eastAsia="Times New Roman" w:hAnsi="Verdana" w:cs="Times New Roman"/>
                      <w:b/>
                      <w:bCs/>
                      <w:sz w:val="20"/>
                      <w:szCs w:val="20"/>
                    </w:rPr>
                    <w:t>no obligations.</w:t>
                  </w:r>
                  <w:r w:rsidRPr="00000135">
                    <w:rPr>
                      <w:rFonts w:ascii="Verdana" w:eastAsia="Times New Roman" w:hAnsi="Verdana" w:cs="Times New Roman"/>
                      <w:sz w:val="20"/>
                      <w:szCs w:val="20"/>
                    </w:rPr>
                    <w:br/>
                  </w:r>
                  <w:r w:rsidRPr="00000135">
                    <w:rPr>
                      <w:rFonts w:ascii="Verdana" w:eastAsia="Times New Roman" w:hAnsi="Verdana" w:cs="Times New Roman"/>
                      <w:sz w:val="20"/>
                      <w:szCs w:val="20"/>
                    </w:rPr>
                    <w:br/>
                    <w:t xml:space="preserve">Ami </w:t>
                  </w:r>
                  <w:proofErr w:type="spellStart"/>
                  <w:r w:rsidRPr="00000135">
                    <w:rPr>
                      <w:rFonts w:ascii="Verdana" w:eastAsia="Times New Roman" w:hAnsi="Verdana" w:cs="Times New Roman"/>
                      <w:sz w:val="20"/>
                      <w:szCs w:val="20"/>
                    </w:rPr>
                    <w:t>Adini</w:t>
                  </w:r>
                  <w:proofErr w:type="spellEnd"/>
                  <w:r w:rsidRPr="00000135">
                    <w:rPr>
                      <w:rFonts w:ascii="Verdana" w:eastAsia="Times New Roman" w:hAnsi="Verdana" w:cs="Times New Roman"/>
                      <w:sz w:val="20"/>
                      <w:szCs w:val="20"/>
                    </w:rPr>
                    <w:t xml:space="preserve"> Environmental Services, Inc.</w:t>
                  </w:r>
                  <w:r w:rsidRPr="00000135">
                    <w:rPr>
                      <w:rFonts w:ascii="Verdana" w:eastAsia="Times New Roman" w:hAnsi="Verdana" w:cs="Times New Roman"/>
                      <w:sz w:val="20"/>
                      <w:szCs w:val="20"/>
                    </w:rPr>
                    <w:br/>
                    <w:t>Environmental Consultants &amp; General Engineering Contractors</w:t>
                  </w:r>
                  <w:r w:rsidRPr="00000135">
                    <w:rPr>
                      <w:rFonts w:ascii="Verdana" w:eastAsia="Times New Roman" w:hAnsi="Verdana" w:cs="Times New Roman"/>
                      <w:sz w:val="20"/>
                      <w:szCs w:val="20"/>
                    </w:rPr>
                    <w:br/>
                    <w:t xml:space="preserve">California </w:t>
                  </w:r>
                  <w:proofErr w:type="spellStart"/>
                  <w:r w:rsidRPr="00000135">
                    <w:rPr>
                      <w:rFonts w:ascii="Verdana" w:eastAsia="Times New Roman" w:hAnsi="Verdana" w:cs="Times New Roman"/>
                      <w:sz w:val="20"/>
                      <w:szCs w:val="20"/>
                    </w:rPr>
                    <w:t>Lic</w:t>
                  </w:r>
                  <w:proofErr w:type="spellEnd"/>
                  <w:r w:rsidRPr="00000135">
                    <w:rPr>
                      <w:rFonts w:ascii="Verdana" w:eastAsia="Times New Roman" w:hAnsi="Verdana" w:cs="Times New Roman"/>
                      <w:sz w:val="20"/>
                      <w:szCs w:val="20"/>
                    </w:rPr>
                    <w:t>. #1009513 A B HAZ ASB</w:t>
                  </w:r>
                  <w:r w:rsidRPr="00000135">
                    <w:rPr>
                      <w:rFonts w:ascii="Verdana" w:eastAsia="Times New Roman" w:hAnsi="Verdana" w:cs="Times New Roman"/>
                      <w:sz w:val="20"/>
                      <w:szCs w:val="20"/>
                    </w:rPr>
                    <w:br/>
                  </w:r>
                  <w:r w:rsidRPr="00000135">
                    <w:rPr>
                      <w:rFonts w:ascii="Verdana" w:eastAsia="Times New Roman" w:hAnsi="Verdana" w:cs="Times New Roman"/>
                      <w:b/>
                      <w:bCs/>
                      <w:sz w:val="20"/>
                      <w:szCs w:val="20"/>
                    </w:rPr>
                    <w:t>818-824-8102</w:t>
                  </w:r>
                  <w:r w:rsidRPr="00000135">
                    <w:rPr>
                      <w:rFonts w:ascii="Verdana" w:eastAsia="Times New Roman" w:hAnsi="Verdana" w:cs="Times New Roman"/>
                      <w:sz w:val="20"/>
                      <w:szCs w:val="20"/>
                    </w:rPr>
                    <w:t>; </w:t>
                  </w:r>
                  <w:hyperlink r:id="rId12" w:history="1">
                    <w:r w:rsidRPr="00000135">
                      <w:rPr>
                        <w:rFonts w:ascii="Verdana" w:eastAsia="Times New Roman" w:hAnsi="Verdana" w:cs="Times New Roman"/>
                        <w:b/>
                        <w:bCs/>
                        <w:color w:val="0000FF"/>
                        <w:sz w:val="20"/>
                        <w:szCs w:val="20"/>
                        <w:u w:val="single"/>
                      </w:rPr>
                      <w:t>mail@amiadini.com</w:t>
                    </w:r>
                  </w:hyperlink>
                  <w:r w:rsidRPr="00000135">
                    <w:rPr>
                      <w:rFonts w:ascii="Verdana" w:eastAsia="Times New Roman" w:hAnsi="Verdana" w:cs="Times New Roman"/>
                      <w:sz w:val="20"/>
                      <w:szCs w:val="20"/>
                    </w:rPr>
                    <w:br/>
                  </w:r>
                  <w:hyperlink r:id="rId13" w:tgtFrame="_blank" w:history="1">
                    <w:r w:rsidRPr="00000135">
                      <w:rPr>
                        <w:rFonts w:ascii="Verdana" w:eastAsia="Times New Roman" w:hAnsi="Verdana" w:cs="Times New Roman"/>
                        <w:color w:val="0000FF"/>
                        <w:sz w:val="20"/>
                        <w:szCs w:val="20"/>
                        <w:u w:val="single"/>
                      </w:rPr>
                      <w:t>www.amiadini.com</w:t>
                    </w:r>
                  </w:hyperlink>
                </w:p>
                <w:p w14:paraId="5DC00915" w14:textId="77777777" w:rsidR="00000135" w:rsidRPr="00000135" w:rsidRDefault="00000135" w:rsidP="00000135">
                  <w:pPr>
                    <w:spacing w:after="0" w:line="240" w:lineRule="auto"/>
                    <w:rPr>
                      <w:rFonts w:ascii="Times New Roman" w:eastAsia="Times New Roman" w:hAnsi="Times New Roman" w:cs="Times New Roman"/>
                      <w:sz w:val="24"/>
                      <w:szCs w:val="24"/>
                    </w:rPr>
                  </w:pPr>
                  <w:r w:rsidRPr="00000135">
                    <w:rPr>
                      <w:rFonts w:ascii="Verdana" w:eastAsia="Times New Roman" w:hAnsi="Verdana" w:cs="Times New Roman"/>
                      <w:sz w:val="20"/>
                      <w:szCs w:val="20"/>
                    </w:rPr>
                    <w:t xml:space="preserve">Ami </w:t>
                  </w:r>
                  <w:proofErr w:type="spellStart"/>
                  <w:r w:rsidRPr="00000135">
                    <w:rPr>
                      <w:rFonts w:ascii="Verdana" w:eastAsia="Times New Roman" w:hAnsi="Verdana" w:cs="Times New Roman"/>
                      <w:sz w:val="20"/>
                      <w:szCs w:val="20"/>
                    </w:rPr>
                    <w:t>Adini</w:t>
                  </w:r>
                  <w:proofErr w:type="spellEnd"/>
                  <w:r w:rsidRPr="00000135">
                    <w:rPr>
                      <w:rFonts w:ascii="Verdana" w:eastAsia="Times New Roman" w:hAnsi="Verdana" w:cs="Times New Roman"/>
                      <w:sz w:val="20"/>
                      <w:szCs w:val="20"/>
                    </w:rPr>
                    <w:t xml:space="preserve">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000135">
                    <w:rPr>
                      <w:rFonts w:ascii="Verdana" w:eastAsia="Times New Roman" w:hAnsi="Verdana" w:cs="Times New Roman"/>
                      <w:sz w:val="20"/>
                      <w:szCs w:val="20"/>
                    </w:rPr>
                    <w:br/>
                  </w:r>
                  <w:r w:rsidRPr="00000135">
                    <w:rPr>
                      <w:rFonts w:ascii="Verdana" w:eastAsia="Times New Roman" w:hAnsi="Verdana" w:cs="Times New Roman"/>
                      <w:sz w:val="20"/>
                      <w:szCs w:val="20"/>
                    </w:rPr>
                    <w:br/>
                  </w:r>
                  <w:r w:rsidRPr="00000135">
                    <w:rPr>
                      <w:rFonts w:ascii="Verdana" w:eastAsia="Times New Roman" w:hAnsi="Verdana" w:cs="Times New Roman"/>
                      <w:b/>
                      <w:bCs/>
                      <w:sz w:val="20"/>
                      <w:szCs w:val="20"/>
                    </w:rPr>
                    <w:t>AAES provides practical solutions to environmental concerns using the highest standards of ethics and integrity while providing its clients with maximum return on their investments.</w:t>
                  </w:r>
                </w:p>
              </w:tc>
            </w:tr>
          </w:tbl>
          <w:p w14:paraId="6B62282D" w14:textId="77777777" w:rsidR="00000135" w:rsidRPr="00000135" w:rsidRDefault="00000135" w:rsidP="00000135">
            <w:pPr>
              <w:spacing w:after="0" w:line="240" w:lineRule="auto"/>
              <w:jc w:val="center"/>
              <w:rPr>
                <w:rFonts w:ascii="Times New Roman" w:eastAsia="Times New Roman" w:hAnsi="Times New Roman" w:cs="Times New Roman"/>
                <w:sz w:val="24"/>
                <w:szCs w:val="24"/>
              </w:rPr>
            </w:pPr>
          </w:p>
        </w:tc>
      </w:tr>
    </w:tbl>
    <w:p w14:paraId="4C5FAFAE" w14:textId="34ADA1CF" w:rsidR="00000135" w:rsidRPr="00000135" w:rsidRDefault="00000135" w:rsidP="00000135">
      <w:pPr>
        <w:tabs>
          <w:tab w:val="left" w:pos="10286"/>
        </w:tabs>
      </w:pPr>
    </w:p>
    <w:sectPr w:rsidR="00000135" w:rsidRPr="00000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135"/>
    <w:rsid w:val="00000135"/>
    <w:rsid w:val="0055002E"/>
    <w:rsid w:val="007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9B491"/>
  <w15:chartTrackingRefBased/>
  <w15:docId w15:val="{4FDA2393-C6DA-422F-9145-906478AF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01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0135"/>
    <w:rPr>
      <w:color w:val="0000FF"/>
      <w:u w:val="single"/>
    </w:rPr>
  </w:style>
  <w:style w:type="character" w:styleId="Strong">
    <w:name w:val="Strong"/>
    <w:basedOn w:val="DefaultParagraphFont"/>
    <w:uiPriority w:val="22"/>
    <w:qFormat/>
    <w:rsid w:val="000001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55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xabay.com/" TargetMode="External"/><Relationship Id="rId13" Type="http://schemas.openxmlformats.org/officeDocument/2006/relationships/hyperlink" Target="http://amiadini.com/"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mail@amiadin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amiadini.com/"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www.pixabay.com/"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2018-10-15T23:07:00Z</dcterms:created>
  <dcterms:modified xsi:type="dcterms:W3CDTF">2018-10-15T23:17:00Z</dcterms:modified>
</cp:coreProperties>
</file>