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4F6DBE" w:rsidRPr="004F6DBE" w14:paraId="2EC2D24C" w14:textId="77777777" w:rsidTr="004F6DBE">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38EF7BC" w14:textId="5F627845" w:rsidR="004F6DBE" w:rsidRPr="004F6DBE" w:rsidRDefault="004F6DBE" w:rsidP="004F6DBE">
            <w:pPr>
              <w:spacing w:after="0" w:line="240" w:lineRule="auto"/>
              <w:jc w:val="center"/>
              <w:rPr>
                <w:rFonts w:ascii="Times New Roman" w:eastAsia="Times New Roman" w:hAnsi="Times New Roman" w:cs="Times New Roman"/>
                <w:sz w:val="24"/>
                <w:szCs w:val="24"/>
              </w:rPr>
            </w:pPr>
            <w:r w:rsidRPr="004F6DBE">
              <w:rPr>
                <w:rFonts w:ascii="Times New Roman" w:eastAsia="Times New Roman" w:hAnsi="Times New Roman" w:cs="Times New Roman"/>
                <w:noProof/>
                <w:sz w:val="24"/>
                <w:szCs w:val="24"/>
              </w:rPr>
              <w:drawing>
                <wp:inline distT="0" distB="0" distL="0" distR="0" wp14:anchorId="3094DB03" wp14:editId="3B69A818">
                  <wp:extent cx="5713095" cy="734060"/>
                  <wp:effectExtent l="0" t="0" r="1905" b="889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734060"/>
                          </a:xfrm>
                          <a:prstGeom prst="rect">
                            <a:avLst/>
                          </a:prstGeom>
                          <a:noFill/>
                          <a:ln>
                            <a:noFill/>
                          </a:ln>
                        </pic:spPr>
                      </pic:pic>
                    </a:graphicData>
                  </a:graphic>
                </wp:inline>
              </w:drawing>
            </w:r>
          </w:p>
        </w:tc>
      </w:tr>
      <w:tr w:rsidR="004F6DBE" w:rsidRPr="004F6DBE" w14:paraId="0CE9904A" w14:textId="77777777" w:rsidTr="004F6DBE">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30A6FC6" w14:textId="77777777" w:rsidR="004F6DBE" w:rsidRPr="004F6DBE" w:rsidRDefault="004F6DBE" w:rsidP="004F6DBE">
            <w:pPr>
              <w:spacing w:before="100" w:beforeAutospacing="1" w:after="100" w:afterAutospacing="1" w:line="240" w:lineRule="auto"/>
              <w:jc w:val="center"/>
              <w:rPr>
                <w:rFonts w:ascii="Times New Roman" w:eastAsia="Times New Roman" w:hAnsi="Times New Roman" w:cs="Times New Roman"/>
                <w:sz w:val="24"/>
                <w:szCs w:val="24"/>
              </w:rPr>
            </w:pPr>
            <w:r w:rsidRPr="004F6DBE">
              <w:rPr>
                <w:rFonts w:ascii="Verdana" w:eastAsia="Times New Roman" w:hAnsi="Verdana" w:cs="Times New Roman"/>
                <w:b/>
                <w:bCs/>
                <w:sz w:val="20"/>
                <w:szCs w:val="20"/>
              </w:rPr>
              <w:br/>
              <w:t>Environmental Enlightenment #72</w:t>
            </w:r>
            <w:r w:rsidRPr="004F6DBE">
              <w:rPr>
                <w:rFonts w:ascii="Verdana" w:eastAsia="Times New Roman" w:hAnsi="Verdana" w:cs="Times New Roman"/>
                <w:sz w:val="20"/>
                <w:szCs w:val="20"/>
              </w:rPr>
              <w:br/>
              <w:t xml:space="preserve">By Ami </w:t>
            </w:r>
            <w:proofErr w:type="spellStart"/>
            <w:r w:rsidRPr="004F6DBE">
              <w:rPr>
                <w:rFonts w:ascii="Verdana" w:eastAsia="Times New Roman" w:hAnsi="Verdana" w:cs="Times New Roman"/>
                <w:sz w:val="20"/>
                <w:szCs w:val="20"/>
              </w:rPr>
              <w:t>Adini</w:t>
            </w:r>
            <w:proofErr w:type="spellEnd"/>
            <w:r w:rsidRPr="004F6DBE">
              <w:rPr>
                <w:rFonts w:ascii="Verdana" w:eastAsia="Times New Roman" w:hAnsi="Verdana" w:cs="Times New Roman"/>
                <w:sz w:val="20"/>
                <w:szCs w:val="20"/>
              </w:rPr>
              <w:t xml:space="preserve"> - Reissued November 19, 2017</w:t>
            </w:r>
          </w:p>
          <w:tbl>
            <w:tblPr>
              <w:tblW w:w="490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03"/>
            </w:tblGrid>
            <w:tr w:rsidR="004F6DBE" w:rsidRPr="004F6DBE" w14:paraId="2DFB17B9"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26EC151"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4F6DBE">
                    <w:rPr>
                      <w:rFonts w:ascii="Verdana" w:eastAsia="Times New Roman" w:hAnsi="Verdana" w:cs="Times New Roman"/>
                      <w:sz w:val="20"/>
                      <w:szCs w:val="20"/>
                    </w:rPr>
                    <w:t>learned, and</w:t>
                  </w:r>
                  <w:proofErr w:type="gramEnd"/>
                  <w:r w:rsidRPr="004F6DBE">
                    <w:rPr>
                      <w:rFonts w:ascii="Verdana" w:eastAsia="Times New Roman" w:hAnsi="Verdana" w:cs="Times New Roman"/>
                      <w:sz w:val="20"/>
                      <w:szCs w:val="20"/>
                    </w:rPr>
                    <w:t xml:space="preserve"> enlighten the uninitiated on terms they may have heard but never known the meaning of.</w:t>
                  </w:r>
                </w:p>
              </w:tc>
            </w:tr>
            <w:tr w:rsidR="004F6DBE" w:rsidRPr="004F6DBE" w14:paraId="2CCCA5E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4C9CFC7" w14:textId="77777777" w:rsidR="004F6DBE" w:rsidRPr="004F6DBE" w:rsidRDefault="004F6DBE" w:rsidP="004F6D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6DBE">
                    <w:rPr>
                      <w:rFonts w:ascii="Arial" w:eastAsia="Times New Roman" w:hAnsi="Arial" w:cs="Arial"/>
                      <w:b/>
                      <w:bCs/>
                      <w:color w:val="006600"/>
                      <w:sz w:val="27"/>
                      <w:szCs w:val="27"/>
                    </w:rPr>
                    <w:t>How to Find Buried Objects </w:t>
                  </w:r>
                  <w:r w:rsidRPr="004F6DBE">
                    <w:rPr>
                      <w:rFonts w:ascii="Arial" w:eastAsia="Times New Roman" w:hAnsi="Arial" w:cs="Arial"/>
                      <w:b/>
                      <w:bCs/>
                      <w:color w:val="006600"/>
                      <w:sz w:val="27"/>
                      <w:szCs w:val="27"/>
                    </w:rPr>
                    <w:br/>
                    <w:t>Metal Detection</w:t>
                  </w:r>
                </w:p>
                <w:p w14:paraId="1D34C848" w14:textId="35AB0587" w:rsidR="004F6DBE" w:rsidRPr="004F6DBE" w:rsidRDefault="004F6DBE" w:rsidP="004F6DBE">
                  <w:pPr>
                    <w:spacing w:before="100" w:beforeAutospacing="1" w:after="100" w:afterAutospacing="1" w:line="240" w:lineRule="auto"/>
                    <w:jc w:val="center"/>
                    <w:rPr>
                      <w:rFonts w:ascii="Times New Roman" w:eastAsia="Times New Roman" w:hAnsi="Times New Roman" w:cs="Times New Roman"/>
                      <w:sz w:val="24"/>
                      <w:szCs w:val="24"/>
                    </w:rPr>
                  </w:pPr>
                  <w:r w:rsidRPr="004F6DBE">
                    <w:rPr>
                      <w:rFonts w:ascii="Verdana" w:eastAsia="Times New Roman" w:hAnsi="Verdana" w:cs="Times New Roman"/>
                      <w:b/>
                      <w:bCs/>
                      <w:noProof/>
                      <w:sz w:val="20"/>
                      <w:szCs w:val="20"/>
                    </w:rPr>
                    <w:drawing>
                      <wp:inline distT="0" distB="0" distL="0" distR="0" wp14:anchorId="59A2E25F" wp14:editId="40EBEB34">
                        <wp:extent cx="3715385" cy="4333875"/>
                        <wp:effectExtent l="0" t="0" r="0" b="9525"/>
                        <wp:docPr id="3" name="Picture 3" descr="http://amiadini.com/NewsletterArchive/171118-NL72/ee-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1118-NL72/ee-7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5385" cy="4333875"/>
                                </a:xfrm>
                                <a:prstGeom prst="rect">
                                  <a:avLst/>
                                </a:prstGeom>
                                <a:noFill/>
                                <a:ln>
                                  <a:noFill/>
                                </a:ln>
                              </pic:spPr>
                            </pic:pic>
                          </a:graphicData>
                        </a:graphic>
                      </wp:inline>
                    </w:drawing>
                  </w:r>
                </w:p>
                <w:p w14:paraId="0CF43479"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i/>
                      <w:iCs/>
                      <w:sz w:val="20"/>
                      <w:szCs w:val="20"/>
                    </w:rPr>
                    <w:t>(The text in this article has been extracted from a publication by the United States Environmental Protection Agency.)</w:t>
                  </w:r>
                </w:p>
                <w:p w14:paraId="0F8DAFEC" w14:textId="77777777" w:rsidR="004F6DBE" w:rsidRPr="004F6DBE" w:rsidRDefault="004F6DBE" w:rsidP="004F6DBE">
                  <w:pPr>
                    <w:spacing w:after="0" w:line="240" w:lineRule="auto"/>
                    <w:rPr>
                      <w:rFonts w:ascii="Times New Roman" w:eastAsia="Times New Roman" w:hAnsi="Times New Roman" w:cs="Times New Roman"/>
                      <w:sz w:val="24"/>
                      <w:szCs w:val="24"/>
                    </w:rPr>
                  </w:pPr>
                  <w:r w:rsidRPr="004F6DBE">
                    <w:rPr>
                      <w:rFonts w:ascii="Times New Roman" w:eastAsia="Times New Roman" w:hAnsi="Times New Roman" w:cs="Times New Roman"/>
                      <w:sz w:val="24"/>
                      <w:szCs w:val="24"/>
                    </w:rPr>
                    <w:pict w14:anchorId="58D34002">
                      <v:rect id="_x0000_i1027" style="width:0;height:1.5pt" o:hralign="center" o:hrstd="t" o:hr="t" fillcolor="#a0a0a0" stroked="f"/>
                    </w:pict>
                  </w:r>
                </w:p>
                <w:p w14:paraId="49A2996C"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Metal detectors, also referred to as pipeline and cable detectors, are widely used for locating buried metal objects in a process called metal detection (MD). MD can be used to locate steel and composite (i.e., fiberglass-coated steel) tanks; metal piping; and utilities.</w:t>
                  </w:r>
                </w:p>
                <w:p w14:paraId="7DE48FE9" w14:textId="20F6A056" w:rsidR="004F6DBE" w:rsidRPr="004F6DBE" w:rsidRDefault="004F6DBE" w:rsidP="004F6DBE">
                  <w:pPr>
                    <w:spacing w:before="100" w:beforeAutospacing="1" w:after="100" w:afterAutospacing="1" w:line="240" w:lineRule="auto"/>
                    <w:jc w:val="center"/>
                    <w:rPr>
                      <w:rFonts w:ascii="Times New Roman" w:eastAsia="Times New Roman" w:hAnsi="Times New Roman" w:cs="Times New Roman"/>
                      <w:sz w:val="24"/>
                      <w:szCs w:val="24"/>
                    </w:rPr>
                  </w:pPr>
                  <w:r w:rsidRPr="004F6DBE">
                    <w:rPr>
                      <w:rFonts w:ascii="Verdana" w:eastAsia="Times New Roman" w:hAnsi="Verdana" w:cs="Times New Roman"/>
                      <w:noProof/>
                      <w:sz w:val="20"/>
                      <w:szCs w:val="20"/>
                    </w:rPr>
                    <w:drawing>
                      <wp:inline distT="0" distB="0" distL="0" distR="0" wp14:anchorId="3B4B8357" wp14:editId="71C4AB90">
                        <wp:extent cx="4933315" cy="3284855"/>
                        <wp:effectExtent l="0" t="0" r="635" b="0"/>
                        <wp:docPr id="2" name="Picture 2" descr="http://amiadini.com/NewsletterArchive/171118-NL72/ee-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1118-NL72/ee-7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315" cy="3284855"/>
                                </a:xfrm>
                                <a:prstGeom prst="rect">
                                  <a:avLst/>
                                </a:prstGeom>
                                <a:noFill/>
                                <a:ln>
                                  <a:noFill/>
                                </a:ln>
                              </pic:spPr>
                            </pic:pic>
                          </a:graphicData>
                        </a:graphic>
                      </wp:inline>
                    </w:drawing>
                  </w:r>
                </w:p>
                <w:p w14:paraId="4471C904"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The response of MD decreases dramatically with depth. As a target depth is doubled, the response decreases by a factor of as much as 64 (the response to small objects decreases more rapidly than the response to large objects).</w:t>
                  </w:r>
                </w:p>
                <w:p w14:paraId="5C398388"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Metal detectors are capable of detecting metal utilities up to 3 feet below ground surface (</w:t>
                  </w:r>
                  <w:proofErr w:type="spellStart"/>
                  <w:r w:rsidRPr="004F6DBE">
                    <w:rPr>
                      <w:rFonts w:ascii="Verdana" w:eastAsia="Times New Roman" w:hAnsi="Verdana" w:cs="Times New Roman"/>
                      <w:sz w:val="20"/>
                      <w:szCs w:val="20"/>
                    </w:rPr>
                    <w:t>bgs</w:t>
                  </w:r>
                  <w:proofErr w:type="spellEnd"/>
                  <w:r w:rsidRPr="004F6DBE">
                    <w:rPr>
                      <w:rFonts w:ascii="Verdana" w:eastAsia="Times New Roman" w:hAnsi="Verdana" w:cs="Times New Roman"/>
                      <w:sz w:val="20"/>
                      <w:szCs w:val="20"/>
                    </w:rPr>
                    <w:t xml:space="preserve">), a 55-gallon metal drum up to 10 feet </w:t>
                  </w:r>
                  <w:proofErr w:type="spellStart"/>
                  <w:r w:rsidRPr="004F6DBE">
                    <w:rPr>
                      <w:rFonts w:ascii="Verdana" w:eastAsia="Times New Roman" w:hAnsi="Verdana" w:cs="Times New Roman"/>
                      <w:sz w:val="20"/>
                      <w:szCs w:val="20"/>
                    </w:rPr>
                    <w:t>bgs</w:t>
                  </w:r>
                  <w:proofErr w:type="spellEnd"/>
                  <w:r w:rsidRPr="004F6DBE">
                    <w:rPr>
                      <w:rFonts w:ascii="Verdana" w:eastAsia="Times New Roman" w:hAnsi="Verdana" w:cs="Times New Roman"/>
                      <w:sz w:val="20"/>
                      <w:szCs w:val="20"/>
                    </w:rPr>
                    <w:t xml:space="preserve">, or a 10,000-gallon steel tank up to 20 feet </w:t>
                  </w:r>
                  <w:proofErr w:type="spellStart"/>
                  <w:r w:rsidRPr="004F6DBE">
                    <w:rPr>
                      <w:rFonts w:ascii="Verdana" w:eastAsia="Times New Roman" w:hAnsi="Verdana" w:cs="Times New Roman"/>
                      <w:sz w:val="20"/>
                      <w:szCs w:val="20"/>
                    </w:rPr>
                    <w:t>bgs</w:t>
                  </w:r>
                  <w:proofErr w:type="spellEnd"/>
                  <w:r w:rsidRPr="004F6DBE">
                    <w:rPr>
                      <w:rFonts w:ascii="Verdana" w:eastAsia="Times New Roman" w:hAnsi="Verdana" w:cs="Times New Roman"/>
                      <w:sz w:val="20"/>
                      <w:szCs w:val="20"/>
                    </w:rPr>
                    <w:t>.</w:t>
                  </w:r>
                </w:p>
                <w:p w14:paraId="2577D385"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Stakes or paint marks are typically placed over targets as the survey proceeds.</w:t>
                  </w:r>
                </w:p>
                <w:p w14:paraId="00FA6A5D"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The diagram below presents a schematic drawing of MD operating principles.</w:t>
                  </w:r>
                </w:p>
                <w:p w14:paraId="21CF2B7B" w14:textId="00DA016A" w:rsidR="004F6DBE" w:rsidRPr="004F6DBE" w:rsidRDefault="004F6DBE" w:rsidP="004F6DBE">
                  <w:pPr>
                    <w:spacing w:before="100" w:beforeAutospacing="1" w:after="100" w:afterAutospacing="1" w:line="240" w:lineRule="auto"/>
                    <w:jc w:val="center"/>
                    <w:rPr>
                      <w:rFonts w:ascii="Times New Roman" w:eastAsia="Times New Roman" w:hAnsi="Times New Roman" w:cs="Times New Roman"/>
                      <w:sz w:val="24"/>
                      <w:szCs w:val="24"/>
                    </w:rPr>
                  </w:pPr>
                  <w:r w:rsidRPr="004F6DBE">
                    <w:rPr>
                      <w:rFonts w:ascii="Verdana" w:eastAsia="Times New Roman" w:hAnsi="Verdana" w:cs="Times New Roman"/>
                      <w:noProof/>
                      <w:sz w:val="20"/>
                      <w:szCs w:val="20"/>
                    </w:rPr>
                    <w:drawing>
                      <wp:inline distT="0" distB="0" distL="0" distR="0" wp14:anchorId="5AFA68AF" wp14:editId="36B96164">
                        <wp:extent cx="4933315" cy="3961130"/>
                        <wp:effectExtent l="0" t="0" r="635" b="1270"/>
                        <wp:docPr id="1" name="Picture 1" descr="http://amiadini.com/NewsletterArchive/171118-NL72/ee-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1118-NL72/ee-7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315" cy="3961130"/>
                                </a:xfrm>
                                <a:prstGeom prst="rect">
                                  <a:avLst/>
                                </a:prstGeom>
                                <a:noFill/>
                                <a:ln>
                                  <a:noFill/>
                                </a:ln>
                              </pic:spPr>
                            </pic:pic>
                          </a:graphicData>
                        </a:graphic>
                      </wp:inline>
                    </w:drawing>
                  </w:r>
                </w:p>
                <w:p w14:paraId="23C3E248"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Care must be taken to minimize noise from metal fences, vehicles, buildings, and buried pipes. </w:t>
                  </w:r>
                  <w:r w:rsidRPr="004F6DBE">
                    <w:rPr>
                      <w:rFonts w:ascii="Verdana" w:eastAsia="Times New Roman" w:hAnsi="Verdana" w:cs="Times New Roman"/>
                      <w:sz w:val="20"/>
                      <w:szCs w:val="20"/>
                    </w:rPr>
                    <w:br/>
                  </w:r>
                  <w:r w:rsidRPr="004F6DBE">
                    <w:rPr>
                      <w:rFonts w:ascii="Verdana" w:eastAsia="Times New Roman" w:hAnsi="Verdana" w:cs="Times New Roman"/>
                      <w:sz w:val="20"/>
                      <w:szCs w:val="20"/>
                    </w:rPr>
                    <w:br/>
                    <w:t>Rebar in concrete is perhaps the most common problem for this method.</w:t>
                  </w:r>
                </w:p>
              </w:tc>
            </w:tr>
            <w:tr w:rsidR="004F6DBE" w:rsidRPr="004F6DBE" w14:paraId="69AE013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2058AE3" w14:textId="77777777" w:rsidR="004F6DBE" w:rsidRPr="004F6DBE" w:rsidRDefault="004F6DBE" w:rsidP="004F6DBE">
                  <w:pPr>
                    <w:spacing w:before="100" w:beforeAutospacing="1" w:after="100" w:afterAutospacing="1" w:line="240" w:lineRule="auto"/>
                    <w:rPr>
                      <w:rFonts w:ascii="Times New Roman" w:eastAsia="Times New Roman" w:hAnsi="Times New Roman" w:cs="Times New Roman"/>
                      <w:sz w:val="24"/>
                      <w:szCs w:val="24"/>
                    </w:rPr>
                  </w:pPr>
                  <w:r w:rsidRPr="004F6DBE">
                    <w:rPr>
                      <w:rFonts w:ascii="Verdana" w:eastAsia="Times New Roman" w:hAnsi="Verdana" w:cs="Times New Roman"/>
                      <w:sz w:val="20"/>
                      <w:szCs w:val="20"/>
                    </w:rPr>
                    <w:t>You can find past issues of our "Environmental Enlightenment" at </w:t>
                  </w:r>
                  <w:proofErr w:type="spellStart"/>
                  <w:r w:rsidRPr="004F6DBE">
                    <w:rPr>
                      <w:rFonts w:ascii="Verdana" w:eastAsia="Times New Roman" w:hAnsi="Verdana" w:cs="Times New Roman"/>
                      <w:sz w:val="20"/>
                      <w:szCs w:val="20"/>
                    </w:rPr>
                    <w:fldChar w:fldCharType="begin"/>
                  </w:r>
                  <w:r w:rsidRPr="004F6DBE">
                    <w:rPr>
                      <w:rFonts w:ascii="Verdana" w:eastAsia="Times New Roman" w:hAnsi="Verdana" w:cs="Times New Roman"/>
                      <w:sz w:val="20"/>
                      <w:szCs w:val="20"/>
                    </w:rPr>
                    <w:instrText xml:space="preserve"> HYPERLINK "http://www.amiadini.com/" </w:instrText>
                  </w:r>
                  <w:r w:rsidRPr="004F6DBE">
                    <w:rPr>
                      <w:rFonts w:ascii="Verdana" w:eastAsia="Times New Roman" w:hAnsi="Verdana" w:cs="Times New Roman"/>
                      <w:sz w:val="20"/>
                      <w:szCs w:val="20"/>
                    </w:rPr>
                    <w:fldChar w:fldCharType="separate"/>
                  </w:r>
                  <w:r w:rsidRPr="004F6DBE">
                    <w:rPr>
                      <w:rFonts w:ascii="Verdana" w:eastAsia="Times New Roman" w:hAnsi="Verdana" w:cs="Times New Roman"/>
                      <w:color w:val="0000FF"/>
                      <w:sz w:val="20"/>
                      <w:szCs w:val="20"/>
                      <w:u w:val="single"/>
                    </w:rPr>
                    <w:t>amiadini.com</w:t>
                  </w:r>
                  <w:r w:rsidRPr="004F6DBE">
                    <w:rPr>
                      <w:rFonts w:ascii="Verdana" w:eastAsia="Times New Roman" w:hAnsi="Verdana" w:cs="Times New Roman"/>
                      <w:sz w:val="20"/>
                      <w:szCs w:val="20"/>
                    </w:rPr>
                    <w:fldChar w:fldCharType="end"/>
                  </w:r>
                  <w:r w:rsidRPr="004F6DBE">
                    <w:rPr>
                      <w:rFonts w:ascii="Verdana" w:eastAsia="Times New Roman" w:hAnsi="Verdana" w:cs="Times New Roman"/>
                      <w:sz w:val="20"/>
                      <w:szCs w:val="20"/>
                    </w:rPr>
                    <w:t>Wealth</w:t>
                  </w:r>
                  <w:proofErr w:type="spellEnd"/>
                  <w:r w:rsidRPr="004F6DBE">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5372705A" w14:textId="77777777" w:rsidR="004F6DBE" w:rsidRPr="004F6DBE" w:rsidRDefault="004F6DBE" w:rsidP="004F6DBE">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4F6DBE" w:rsidRPr="004F6DBE" w14:paraId="7B764C63" w14:textId="77777777">
              <w:trPr>
                <w:tblCellSpacing w:w="0" w:type="dxa"/>
                <w:jc w:val="center"/>
              </w:trPr>
              <w:tc>
                <w:tcPr>
                  <w:tcW w:w="0" w:type="auto"/>
                  <w:vAlign w:val="center"/>
                  <w:hideMark/>
                </w:tcPr>
                <w:p w14:paraId="684D1BD0" w14:textId="77777777" w:rsidR="004F6DBE" w:rsidRPr="004F6DBE" w:rsidRDefault="004F6DBE" w:rsidP="004F6DBE">
                  <w:pPr>
                    <w:spacing w:before="100" w:beforeAutospacing="1" w:after="100" w:afterAutospacing="1" w:line="240" w:lineRule="auto"/>
                    <w:jc w:val="center"/>
                    <w:rPr>
                      <w:rFonts w:ascii="Times New Roman" w:eastAsia="Times New Roman" w:hAnsi="Times New Roman" w:cs="Times New Roman"/>
                      <w:sz w:val="24"/>
                      <w:szCs w:val="24"/>
                    </w:rPr>
                  </w:pPr>
                  <w:r w:rsidRPr="004F6DBE">
                    <w:rPr>
                      <w:rFonts w:ascii="Verdana" w:eastAsia="Times New Roman" w:hAnsi="Verdana" w:cs="Times New Roman"/>
                      <w:sz w:val="20"/>
                      <w:szCs w:val="20"/>
                    </w:rPr>
                    <w:t>Call me if you have any questions. There are </w:t>
                  </w:r>
                  <w:r w:rsidRPr="004F6DBE">
                    <w:rPr>
                      <w:rFonts w:ascii="Verdana" w:eastAsia="Times New Roman" w:hAnsi="Verdana" w:cs="Times New Roman"/>
                      <w:b/>
                      <w:bCs/>
                      <w:sz w:val="20"/>
                      <w:szCs w:val="20"/>
                    </w:rPr>
                    <w:t>no obligations.</w:t>
                  </w:r>
                  <w:r w:rsidRPr="004F6DBE">
                    <w:rPr>
                      <w:rFonts w:ascii="Verdana" w:eastAsia="Times New Roman" w:hAnsi="Verdana" w:cs="Times New Roman"/>
                      <w:sz w:val="20"/>
                      <w:szCs w:val="20"/>
                    </w:rPr>
                    <w:br/>
                  </w:r>
                  <w:r w:rsidRPr="004F6DBE">
                    <w:rPr>
                      <w:rFonts w:ascii="Verdana" w:eastAsia="Times New Roman" w:hAnsi="Verdana" w:cs="Times New Roman"/>
                      <w:sz w:val="20"/>
                      <w:szCs w:val="20"/>
                    </w:rPr>
                    <w:br/>
                    <w:t xml:space="preserve">Ami </w:t>
                  </w:r>
                  <w:proofErr w:type="spellStart"/>
                  <w:r w:rsidRPr="004F6DBE">
                    <w:rPr>
                      <w:rFonts w:ascii="Verdana" w:eastAsia="Times New Roman" w:hAnsi="Verdana" w:cs="Times New Roman"/>
                      <w:sz w:val="20"/>
                      <w:szCs w:val="20"/>
                    </w:rPr>
                    <w:t>Adini</w:t>
                  </w:r>
                  <w:proofErr w:type="spellEnd"/>
                  <w:r w:rsidRPr="004F6DBE">
                    <w:rPr>
                      <w:rFonts w:ascii="Verdana" w:eastAsia="Times New Roman" w:hAnsi="Verdana" w:cs="Times New Roman"/>
                      <w:sz w:val="20"/>
                      <w:szCs w:val="20"/>
                    </w:rPr>
                    <w:t xml:space="preserve"> Environmental Services, Inc.</w:t>
                  </w:r>
                  <w:r w:rsidRPr="004F6DBE">
                    <w:rPr>
                      <w:rFonts w:ascii="Verdana" w:eastAsia="Times New Roman" w:hAnsi="Verdana" w:cs="Times New Roman"/>
                      <w:sz w:val="20"/>
                      <w:szCs w:val="20"/>
                    </w:rPr>
                    <w:br/>
                    <w:t>Environmental Consultants &amp; General Engineering Contractors</w:t>
                  </w:r>
                  <w:r w:rsidRPr="004F6DBE">
                    <w:rPr>
                      <w:rFonts w:ascii="Verdana" w:eastAsia="Times New Roman" w:hAnsi="Verdana" w:cs="Times New Roman"/>
                      <w:sz w:val="20"/>
                      <w:szCs w:val="20"/>
                    </w:rPr>
                    <w:br/>
                    <w:t xml:space="preserve">California </w:t>
                  </w:r>
                  <w:proofErr w:type="spellStart"/>
                  <w:r w:rsidRPr="004F6DBE">
                    <w:rPr>
                      <w:rFonts w:ascii="Verdana" w:eastAsia="Times New Roman" w:hAnsi="Verdana" w:cs="Times New Roman"/>
                      <w:sz w:val="20"/>
                      <w:szCs w:val="20"/>
                    </w:rPr>
                    <w:t>Lic</w:t>
                  </w:r>
                  <w:proofErr w:type="spellEnd"/>
                  <w:r w:rsidRPr="004F6DBE">
                    <w:rPr>
                      <w:rFonts w:ascii="Verdana" w:eastAsia="Times New Roman" w:hAnsi="Verdana" w:cs="Times New Roman"/>
                      <w:sz w:val="20"/>
                      <w:szCs w:val="20"/>
                    </w:rPr>
                    <w:t>. #1009513 A B HAZ ASB</w:t>
                  </w:r>
                  <w:r w:rsidRPr="004F6DBE">
                    <w:rPr>
                      <w:rFonts w:ascii="Verdana" w:eastAsia="Times New Roman" w:hAnsi="Verdana" w:cs="Times New Roman"/>
                      <w:sz w:val="20"/>
                      <w:szCs w:val="20"/>
                    </w:rPr>
                    <w:br/>
                  </w:r>
                  <w:r w:rsidRPr="004F6DBE">
                    <w:rPr>
                      <w:rFonts w:ascii="Verdana" w:eastAsia="Times New Roman" w:hAnsi="Verdana" w:cs="Times New Roman"/>
                      <w:b/>
                      <w:bCs/>
                      <w:sz w:val="20"/>
                      <w:szCs w:val="20"/>
                    </w:rPr>
                    <w:t>818-824-8102</w:t>
                  </w:r>
                  <w:r w:rsidRPr="004F6DBE">
                    <w:rPr>
                      <w:rFonts w:ascii="Verdana" w:eastAsia="Times New Roman" w:hAnsi="Verdana" w:cs="Times New Roman"/>
                      <w:sz w:val="20"/>
                      <w:szCs w:val="20"/>
                    </w:rPr>
                    <w:t>; </w:t>
                  </w:r>
                  <w:hyperlink r:id="rId8" w:history="1">
                    <w:r w:rsidRPr="004F6DBE">
                      <w:rPr>
                        <w:rFonts w:ascii="Verdana" w:eastAsia="Times New Roman" w:hAnsi="Verdana" w:cs="Times New Roman"/>
                        <w:b/>
                        <w:bCs/>
                        <w:color w:val="0000FF"/>
                        <w:sz w:val="20"/>
                        <w:szCs w:val="20"/>
                        <w:u w:val="single"/>
                      </w:rPr>
                      <w:t>mail@amiadini.com</w:t>
                    </w:r>
                  </w:hyperlink>
                  <w:r w:rsidRPr="004F6DBE">
                    <w:rPr>
                      <w:rFonts w:ascii="Verdana" w:eastAsia="Times New Roman" w:hAnsi="Verdana" w:cs="Times New Roman"/>
                      <w:sz w:val="20"/>
                      <w:szCs w:val="20"/>
                    </w:rPr>
                    <w:br/>
                  </w:r>
                  <w:hyperlink r:id="rId9" w:tgtFrame="_blank" w:history="1">
                    <w:r w:rsidRPr="004F6DBE">
                      <w:rPr>
                        <w:rFonts w:ascii="Verdana" w:eastAsia="Times New Roman" w:hAnsi="Verdana" w:cs="Times New Roman"/>
                        <w:color w:val="0000FF"/>
                        <w:sz w:val="20"/>
                        <w:szCs w:val="20"/>
                        <w:u w:val="single"/>
                      </w:rPr>
                      <w:t>www.amiadini.com</w:t>
                    </w:r>
                  </w:hyperlink>
                </w:p>
                <w:p w14:paraId="7130E2B6" w14:textId="77777777" w:rsidR="004F6DBE" w:rsidRPr="004F6DBE" w:rsidRDefault="004F6DBE" w:rsidP="004F6DBE">
                  <w:pPr>
                    <w:spacing w:after="0" w:line="240" w:lineRule="auto"/>
                    <w:rPr>
                      <w:rFonts w:ascii="Times New Roman" w:eastAsia="Times New Roman" w:hAnsi="Times New Roman" w:cs="Times New Roman"/>
                      <w:sz w:val="24"/>
                      <w:szCs w:val="24"/>
                    </w:rPr>
                  </w:pPr>
                  <w:r w:rsidRPr="004F6DBE">
                    <w:rPr>
                      <w:rFonts w:ascii="Verdana" w:eastAsia="Times New Roman" w:hAnsi="Verdana" w:cs="Times New Roman"/>
                      <w:sz w:val="15"/>
                      <w:szCs w:val="15"/>
                    </w:rPr>
                    <w:t xml:space="preserve">Ami </w:t>
                  </w:r>
                  <w:proofErr w:type="spellStart"/>
                  <w:r w:rsidRPr="004F6DBE">
                    <w:rPr>
                      <w:rFonts w:ascii="Verdana" w:eastAsia="Times New Roman" w:hAnsi="Verdana" w:cs="Times New Roman"/>
                      <w:sz w:val="15"/>
                      <w:szCs w:val="15"/>
                    </w:rPr>
                    <w:t>Adini</w:t>
                  </w:r>
                  <w:proofErr w:type="spellEnd"/>
                  <w:r w:rsidRPr="004F6DBE">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4F6DBE">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045D5DF1" w14:textId="77777777" w:rsidR="004F6DBE" w:rsidRPr="004F6DBE" w:rsidRDefault="004F6DBE" w:rsidP="004F6DBE">
            <w:pPr>
              <w:spacing w:after="0" w:line="240" w:lineRule="auto"/>
              <w:jc w:val="center"/>
              <w:rPr>
                <w:rFonts w:ascii="Times New Roman" w:eastAsia="Times New Roman" w:hAnsi="Times New Roman" w:cs="Times New Roman"/>
                <w:sz w:val="24"/>
                <w:szCs w:val="24"/>
              </w:rPr>
            </w:pPr>
          </w:p>
        </w:tc>
      </w:tr>
    </w:tbl>
    <w:p w14:paraId="5671A644"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BE"/>
    <w:rsid w:val="004F6DBE"/>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2F5B"/>
  <w15:chartTrackingRefBased/>
  <w15:docId w15:val="{A4758CA4-6227-41F2-9898-ACB0DF35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F6D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D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6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DBE"/>
    <w:rPr>
      <w:color w:val="0000FF"/>
      <w:u w:val="single"/>
    </w:rPr>
  </w:style>
  <w:style w:type="character" w:styleId="Strong">
    <w:name w:val="Strong"/>
    <w:basedOn w:val="DefaultParagraphFont"/>
    <w:uiPriority w:val="22"/>
    <w:qFormat/>
    <w:rsid w:val="004F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2018-10-15T22:54:00Z</dcterms:created>
  <dcterms:modified xsi:type="dcterms:W3CDTF">2018-10-15T22:59:00Z</dcterms:modified>
</cp:coreProperties>
</file>