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781"/>
      </w:tblGrid>
      <w:tr w:rsidR="00183B43" w:rsidRPr="00183B43" w14:paraId="26B6D4F0" w14:textId="77777777" w:rsidTr="00183B43">
        <w:trPr>
          <w:tblCellSpacing w:w="0" w:type="dxa"/>
        </w:trPr>
        <w:tc>
          <w:tcPr>
            <w:tcW w:w="9750" w:type="dxa"/>
            <w:tcBorders>
              <w:top w:val="outset" w:sz="6" w:space="0" w:color="006600"/>
              <w:left w:val="outset" w:sz="6" w:space="0" w:color="006600"/>
              <w:bottom w:val="outset" w:sz="6" w:space="0" w:color="006600"/>
              <w:right w:val="outset" w:sz="6" w:space="0" w:color="006600"/>
            </w:tcBorders>
            <w:shd w:val="clear" w:color="auto" w:fill="FFFFFF"/>
            <w:hideMark/>
          </w:tcPr>
          <w:p w14:paraId="702A6D7A" w14:textId="769548F9" w:rsidR="00183B43" w:rsidRPr="00183B43" w:rsidRDefault="00183B43" w:rsidP="00183B43">
            <w:pPr>
              <w:spacing w:after="0" w:line="240" w:lineRule="auto"/>
              <w:jc w:val="center"/>
              <w:rPr>
                <w:rFonts w:ascii="Times New Roman" w:eastAsia="Times New Roman" w:hAnsi="Times New Roman" w:cs="Times New Roman"/>
                <w:color w:val="000000"/>
                <w:sz w:val="27"/>
                <w:szCs w:val="27"/>
              </w:rPr>
            </w:pPr>
            <w:r w:rsidRPr="00183B43">
              <w:rPr>
                <w:rFonts w:ascii="Times New Roman" w:eastAsia="Times New Roman" w:hAnsi="Times New Roman" w:cs="Times New Roman"/>
                <w:noProof/>
                <w:color w:val="000000"/>
                <w:sz w:val="27"/>
                <w:szCs w:val="27"/>
              </w:rPr>
              <w:drawing>
                <wp:inline distT="0" distB="0" distL="0" distR="0" wp14:anchorId="3477A862" wp14:editId="39E7397D">
                  <wp:extent cx="6191250" cy="787400"/>
                  <wp:effectExtent l="0" t="0" r="0" b="0"/>
                  <wp:docPr id="13" name="Picture 13"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787400"/>
                          </a:xfrm>
                          <a:prstGeom prst="rect">
                            <a:avLst/>
                          </a:prstGeom>
                          <a:noFill/>
                          <a:ln>
                            <a:noFill/>
                          </a:ln>
                        </pic:spPr>
                      </pic:pic>
                    </a:graphicData>
                  </a:graphic>
                </wp:inline>
              </w:drawing>
            </w:r>
          </w:p>
        </w:tc>
      </w:tr>
      <w:tr w:rsidR="00183B43" w:rsidRPr="00183B43" w14:paraId="0540264B" w14:textId="77777777" w:rsidTr="00183B43">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4F13B927" w14:textId="77777777" w:rsidR="00183B43" w:rsidRPr="00183B43" w:rsidRDefault="00183B43" w:rsidP="00183B4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83B43">
              <w:rPr>
                <w:rFonts w:ascii="Verdana" w:eastAsia="Times New Roman" w:hAnsi="Verdana" w:cs="Times New Roman"/>
                <w:color w:val="000000"/>
                <w:sz w:val="20"/>
                <w:szCs w:val="20"/>
              </w:rPr>
              <w:br/>
            </w:r>
            <w:r w:rsidRPr="00183B43">
              <w:rPr>
                <w:rFonts w:ascii="Verdana" w:eastAsia="Times New Roman" w:hAnsi="Verdana" w:cs="Times New Roman"/>
                <w:b/>
                <w:bCs/>
                <w:color w:val="000000"/>
                <w:sz w:val="20"/>
                <w:szCs w:val="20"/>
              </w:rPr>
              <w:t>Environmental Enlightenment #192</w:t>
            </w:r>
            <w:r w:rsidRPr="00183B43">
              <w:rPr>
                <w:rFonts w:ascii="Verdana" w:eastAsia="Times New Roman" w:hAnsi="Verdana" w:cs="Times New Roman"/>
                <w:color w:val="000000"/>
                <w:sz w:val="20"/>
                <w:szCs w:val="20"/>
              </w:rPr>
              <w:br/>
              <w:t xml:space="preserve">By Ami </w:t>
            </w:r>
            <w:proofErr w:type="spellStart"/>
            <w:r w:rsidRPr="00183B43">
              <w:rPr>
                <w:rFonts w:ascii="Verdana" w:eastAsia="Times New Roman" w:hAnsi="Verdana" w:cs="Times New Roman"/>
                <w:color w:val="000000"/>
                <w:sz w:val="20"/>
                <w:szCs w:val="20"/>
              </w:rPr>
              <w:t>Adini</w:t>
            </w:r>
            <w:proofErr w:type="spellEnd"/>
            <w:r w:rsidRPr="00183B43">
              <w:rPr>
                <w:rFonts w:ascii="Verdana" w:eastAsia="Times New Roman" w:hAnsi="Verdana" w:cs="Times New Roman"/>
                <w:color w:val="000000"/>
                <w:sz w:val="20"/>
                <w:szCs w:val="20"/>
              </w:rPr>
              <w:t xml:space="preserve"> - Re-issued July 2, 2016</w:t>
            </w:r>
          </w:p>
          <w:tbl>
            <w:tblPr>
              <w:tblW w:w="9660" w:type="dxa"/>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9660"/>
            </w:tblGrid>
            <w:tr w:rsidR="00183B43" w:rsidRPr="00183B43" w14:paraId="65941B0B" w14:textId="77777777">
              <w:trPr>
                <w:trHeight w:val="456"/>
                <w:tblCellSpacing w:w="0" w:type="dxa"/>
                <w:jc w:val="center"/>
              </w:trPr>
              <w:tc>
                <w:tcPr>
                  <w:tcW w:w="9300" w:type="dxa"/>
                  <w:tcBorders>
                    <w:top w:val="outset" w:sz="6" w:space="0" w:color="006633"/>
                    <w:left w:val="outset" w:sz="6" w:space="0" w:color="006633"/>
                    <w:bottom w:val="outset" w:sz="6" w:space="0" w:color="006633"/>
                    <w:right w:val="outset" w:sz="6" w:space="0" w:color="006633"/>
                  </w:tcBorders>
                  <w:vAlign w:val="center"/>
                  <w:hideMark/>
                </w:tcPr>
                <w:p w14:paraId="42B2EF53"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183B43">
                    <w:rPr>
                      <w:rFonts w:ascii="Verdana" w:eastAsia="Times New Roman" w:hAnsi="Verdana" w:cs="Times New Roman"/>
                      <w:sz w:val="20"/>
                      <w:szCs w:val="20"/>
                    </w:rPr>
                    <w:t>learned, and</w:t>
                  </w:r>
                  <w:proofErr w:type="gramEnd"/>
                  <w:r w:rsidRPr="00183B43">
                    <w:rPr>
                      <w:rFonts w:ascii="Verdana" w:eastAsia="Times New Roman" w:hAnsi="Verdana" w:cs="Times New Roman"/>
                      <w:sz w:val="20"/>
                      <w:szCs w:val="20"/>
                    </w:rPr>
                    <w:t xml:space="preserve"> enlighten the uninitiated on terms they may have heard but never known the meaning of.</w:t>
                  </w:r>
                </w:p>
              </w:tc>
            </w:tr>
            <w:tr w:rsidR="00183B43" w:rsidRPr="00183B43" w14:paraId="54E21525"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7DDE514E" w14:textId="243FAF8A" w:rsidR="00183B43" w:rsidRPr="00183B43" w:rsidRDefault="00183B43" w:rsidP="00183B43">
                  <w:pPr>
                    <w:spacing w:after="0" w:line="240" w:lineRule="auto"/>
                    <w:jc w:val="center"/>
                    <w:rPr>
                      <w:rFonts w:ascii="Times New Roman" w:eastAsia="Times New Roman" w:hAnsi="Times New Roman" w:cs="Times New Roman"/>
                      <w:sz w:val="24"/>
                      <w:szCs w:val="24"/>
                    </w:rPr>
                  </w:pPr>
                  <w:r w:rsidRPr="00183B43">
                    <w:rPr>
                      <w:rFonts w:ascii="Times New Roman" w:eastAsia="Times New Roman" w:hAnsi="Times New Roman" w:cs="Times New Roman"/>
                      <w:noProof/>
                      <w:sz w:val="24"/>
                      <w:szCs w:val="24"/>
                    </w:rPr>
                    <w:drawing>
                      <wp:inline distT="0" distB="0" distL="0" distR="0" wp14:anchorId="6D8393D6" wp14:editId="38D6D1E9">
                        <wp:extent cx="4724400" cy="3581400"/>
                        <wp:effectExtent l="0" t="0" r="0" b="0"/>
                        <wp:docPr id="12" name="Picture 12" descr="http://amiadini.com/NewsletterArchive/160702-NL192NL/envEnl-192_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60702-NL192NL/envEnl-192_clip_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400" cy="3581400"/>
                                </a:xfrm>
                                <a:prstGeom prst="rect">
                                  <a:avLst/>
                                </a:prstGeom>
                                <a:noFill/>
                                <a:ln>
                                  <a:noFill/>
                                </a:ln>
                              </pic:spPr>
                            </pic:pic>
                          </a:graphicData>
                        </a:graphic>
                      </wp:inline>
                    </w:drawing>
                  </w:r>
                </w:p>
              </w:tc>
            </w:tr>
            <w:tr w:rsidR="00183B43" w:rsidRPr="00183B43" w14:paraId="4024CFD4"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0052175E" w14:textId="77777777" w:rsidR="00183B43" w:rsidRPr="00183B43" w:rsidRDefault="00183B43" w:rsidP="00183B43">
                  <w:pPr>
                    <w:spacing w:before="100" w:beforeAutospacing="1" w:after="100" w:afterAutospacing="1" w:line="240" w:lineRule="auto"/>
                    <w:jc w:val="center"/>
                    <w:rPr>
                      <w:rFonts w:ascii="Times New Roman" w:eastAsia="Times New Roman" w:hAnsi="Times New Roman" w:cs="Times New Roman"/>
                      <w:sz w:val="24"/>
                      <w:szCs w:val="24"/>
                    </w:rPr>
                  </w:pPr>
                  <w:r w:rsidRPr="00183B43">
                    <w:rPr>
                      <w:rFonts w:ascii="Arial" w:eastAsia="Times New Roman" w:hAnsi="Arial" w:cs="Arial"/>
                      <w:b/>
                      <w:bCs/>
                      <w:color w:val="006600"/>
                      <w:sz w:val="24"/>
                      <w:szCs w:val="24"/>
                    </w:rPr>
                    <w:t>MTBE 101</w:t>
                  </w:r>
                </w:p>
                <w:tbl>
                  <w:tblPr>
                    <w:tblW w:w="0" w:type="auto"/>
                    <w:tblCellSpacing w:w="0" w:type="dxa"/>
                    <w:tblCellMar>
                      <w:left w:w="0" w:type="dxa"/>
                      <w:right w:w="0" w:type="dxa"/>
                    </w:tblCellMar>
                    <w:tblLook w:val="04A0" w:firstRow="1" w:lastRow="0" w:firstColumn="1" w:lastColumn="0" w:noHBand="0" w:noVBand="1"/>
                  </w:tblPr>
                  <w:tblGrid>
                    <w:gridCol w:w="5354"/>
                    <w:gridCol w:w="60"/>
                    <w:gridCol w:w="4096"/>
                  </w:tblGrid>
                  <w:tr w:rsidR="00183B43" w:rsidRPr="00183B43" w14:paraId="22BBA757" w14:textId="77777777">
                    <w:trPr>
                      <w:tblCellSpacing w:w="0" w:type="dxa"/>
                    </w:trPr>
                    <w:tc>
                      <w:tcPr>
                        <w:tcW w:w="0" w:type="auto"/>
                        <w:hideMark/>
                      </w:tcPr>
                      <w:p w14:paraId="68572C57"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Verdana" w:eastAsia="Times New Roman" w:hAnsi="Verdana" w:cs="Times New Roman"/>
                            <w:sz w:val="20"/>
                            <w:szCs w:val="20"/>
                          </w:rPr>
                          <w:t xml:space="preserve">This is a short essay on MTBE, a pursued culprit that has already cost California </w:t>
                        </w:r>
                        <w:proofErr w:type="gramStart"/>
                        <w:r w:rsidRPr="00183B43">
                          <w:rPr>
                            <w:rFonts w:ascii="Verdana" w:eastAsia="Times New Roman" w:hAnsi="Verdana" w:cs="Times New Roman"/>
                            <w:sz w:val="20"/>
                            <w:szCs w:val="20"/>
                          </w:rPr>
                          <w:t>in excess of</w:t>
                        </w:r>
                        <w:proofErr w:type="gramEnd"/>
                        <w:r w:rsidRPr="00183B43">
                          <w:rPr>
                            <w:rFonts w:ascii="Verdana" w:eastAsia="Times New Roman" w:hAnsi="Verdana" w:cs="Times New Roman"/>
                            <w:sz w:val="20"/>
                            <w:szCs w:val="20"/>
                          </w:rPr>
                          <w:t xml:space="preserve"> two billion dollars and more to come. This justifies a few words in “honor” of a once protagonist turned antagonist.</w:t>
                        </w:r>
                      </w:p>
                      <w:p w14:paraId="734CF27A"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Verdana" w:eastAsia="Times New Roman" w:hAnsi="Verdana" w:cs="Times New Roman"/>
                            <w:sz w:val="20"/>
                            <w:szCs w:val="20"/>
                          </w:rPr>
                          <w:t>The impact of MTBE on commercial and industrial real-estate transactions is huge. The one-time </w:t>
                        </w:r>
                        <w:r w:rsidRPr="00183B43">
                          <w:rPr>
                            <w:rFonts w:ascii="Verdana" w:eastAsia="Times New Roman" w:hAnsi="Verdana" w:cs="Times New Roman"/>
                            <w:i/>
                            <w:iCs/>
                            <w:sz w:val="20"/>
                            <w:szCs w:val="20"/>
                          </w:rPr>
                          <w:t>wunderkind</w:t>
                        </w:r>
                        <w:r w:rsidRPr="00183B43">
                          <w:rPr>
                            <w:rFonts w:ascii="Verdana" w:eastAsia="Times New Roman" w:hAnsi="Verdana" w:cs="Times New Roman"/>
                            <w:sz w:val="20"/>
                            <w:szCs w:val="20"/>
                          </w:rPr>
                          <w:t> solver for air pollution spouting from gasoline-powered engines has been decreed a turncoat villain tainting our groundwater resources, and war has been waged. It’s a multi-pronged offensive involving preventive measures such as hermetically tight underground storage facilities and a multibillion-dollar effort to contain and remedy the damage already inflicted.</w:t>
                        </w:r>
                      </w:p>
                    </w:tc>
                    <w:tc>
                      <w:tcPr>
                        <w:tcW w:w="0" w:type="auto"/>
                        <w:hideMark/>
                      </w:tcPr>
                      <w:p w14:paraId="69FF179F" w14:textId="77777777" w:rsidR="00183B43" w:rsidRPr="00183B43" w:rsidRDefault="00183B43" w:rsidP="00183B43">
                        <w:pPr>
                          <w:spacing w:after="0" w:line="240" w:lineRule="auto"/>
                          <w:rPr>
                            <w:rFonts w:ascii="Times New Roman" w:eastAsia="Times New Roman" w:hAnsi="Times New Roman" w:cs="Times New Roman"/>
                            <w:sz w:val="24"/>
                            <w:szCs w:val="24"/>
                          </w:rPr>
                        </w:pPr>
                        <w:r w:rsidRPr="00183B43">
                          <w:rPr>
                            <w:rFonts w:ascii="Times New Roman" w:eastAsia="Times New Roman" w:hAnsi="Times New Roman" w:cs="Times New Roman"/>
                            <w:sz w:val="24"/>
                            <w:szCs w:val="24"/>
                          </w:rPr>
                          <w:t> </w:t>
                        </w:r>
                      </w:p>
                    </w:tc>
                    <w:tc>
                      <w:tcPr>
                        <w:tcW w:w="0" w:type="auto"/>
                        <w:hideMark/>
                      </w:tcPr>
                      <w:p w14:paraId="7A3A1EC7" w14:textId="078E2D97" w:rsidR="00183B43" w:rsidRPr="00183B43" w:rsidRDefault="00183B43" w:rsidP="00183B43">
                        <w:pPr>
                          <w:spacing w:before="100" w:beforeAutospacing="1" w:after="100" w:afterAutospacing="1" w:line="240" w:lineRule="auto"/>
                          <w:jc w:val="right"/>
                          <w:rPr>
                            <w:rFonts w:ascii="Times New Roman" w:eastAsia="Times New Roman" w:hAnsi="Times New Roman" w:cs="Times New Roman"/>
                            <w:sz w:val="24"/>
                            <w:szCs w:val="24"/>
                          </w:rPr>
                        </w:pPr>
                        <w:r w:rsidRPr="00183B43">
                          <w:rPr>
                            <w:rFonts w:ascii="Times New Roman" w:eastAsia="Times New Roman" w:hAnsi="Times New Roman" w:cs="Times New Roman"/>
                            <w:noProof/>
                            <w:sz w:val="24"/>
                            <w:szCs w:val="24"/>
                          </w:rPr>
                          <w:drawing>
                            <wp:inline distT="0" distB="0" distL="0" distR="0" wp14:anchorId="6BCB6995" wp14:editId="4F3D8E70">
                              <wp:extent cx="2603500" cy="3333750"/>
                              <wp:effectExtent l="0" t="0" r="6350" b="0"/>
                              <wp:docPr id="11" name="Picture 11" descr="http://amiadini.com/NewsletterArchive/160702-NL192NL/envEnl-192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60702-NL192NL/envEnl-192_clip_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3500" cy="3333750"/>
                                      </a:xfrm>
                                      <a:prstGeom prst="rect">
                                        <a:avLst/>
                                      </a:prstGeom>
                                      <a:noFill/>
                                      <a:ln>
                                        <a:noFill/>
                                      </a:ln>
                                    </pic:spPr>
                                  </pic:pic>
                                </a:graphicData>
                              </a:graphic>
                            </wp:inline>
                          </w:drawing>
                        </w:r>
                      </w:p>
                    </w:tc>
                  </w:tr>
                  <w:tr w:rsidR="00183B43" w:rsidRPr="00183B43" w14:paraId="2F38325F" w14:textId="77777777">
                    <w:trPr>
                      <w:tblCellSpacing w:w="0" w:type="dxa"/>
                    </w:trPr>
                    <w:tc>
                      <w:tcPr>
                        <w:tcW w:w="0" w:type="auto"/>
                        <w:gridSpan w:val="3"/>
                        <w:vAlign w:val="center"/>
                        <w:hideMark/>
                      </w:tcPr>
                      <w:p w14:paraId="140F6F94" w14:textId="77777777" w:rsidR="00183B43" w:rsidRPr="00183B43" w:rsidRDefault="00183B43" w:rsidP="00183B43">
                        <w:pPr>
                          <w:spacing w:before="100" w:beforeAutospacing="1" w:after="100" w:afterAutospacing="1" w:line="240" w:lineRule="auto"/>
                          <w:jc w:val="right"/>
                          <w:rPr>
                            <w:rFonts w:ascii="Times New Roman" w:eastAsia="Times New Roman" w:hAnsi="Times New Roman" w:cs="Times New Roman"/>
                            <w:sz w:val="24"/>
                            <w:szCs w:val="24"/>
                          </w:rPr>
                        </w:pPr>
                        <w:r w:rsidRPr="00183B43">
                          <w:rPr>
                            <w:rFonts w:ascii="Verdana" w:eastAsia="Times New Roman" w:hAnsi="Verdana" w:cs="Times New Roman"/>
                            <w:sz w:val="15"/>
                            <w:szCs w:val="15"/>
                          </w:rPr>
                          <w:t>Credit: Mac m 13[GFDL (www.gnu.org/copyleft/fdl.html) or CC-BY-SA-3.0-2.5-2.0-1.0 (www.creativecommons.org/licenses/by-sa/3.0)], via Wikimedia Commons</w:t>
                        </w:r>
                      </w:p>
                    </w:tc>
                  </w:tr>
                </w:tbl>
                <w:p w14:paraId="19F1236E" w14:textId="77777777" w:rsidR="00183B43" w:rsidRPr="00183B43" w:rsidRDefault="00183B43" w:rsidP="00183B43">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5323"/>
                    <w:gridCol w:w="4187"/>
                  </w:tblGrid>
                  <w:tr w:rsidR="00183B43" w:rsidRPr="00183B43" w14:paraId="1B46DF18" w14:textId="77777777">
                    <w:trPr>
                      <w:tblCellSpacing w:w="0" w:type="dxa"/>
                    </w:trPr>
                    <w:tc>
                      <w:tcPr>
                        <w:tcW w:w="0" w:type="auto"/>
                        <w:vAlign w:val="center"/>
                        <w:hideMark/>
                      </w:tcPr>
                      <w:p w14:paraId="52E90049" w14:textId="77777777" w:rsidR="00183B43" w:rsidRPr="00183B43" w:rsidRDefault="00183B43" w:rsidP="00183B43">
                        <w:pPr>
                          <w:spacing w:after="0" w:line="240" w:lineRule="auto"/>
                          <w:rPr>
                            <w:rFonts w:ascii="Times New Roman" w:eastAsia="Times New Roman" w:hAnsi="Times New Roman" w:cs="Times New Roman"/>
                            <w:sz w:val="24"/>
                            <w:szCs w:val="24"/>
                          </w:rPr>
                        </w:pPr>
                        <w:r w:rsidRPr="00183B43">
                          <w:rPr>
                            <w:rFonts w:ascii="Times New Roman" w:eastAsia="Times New Roman" w:hAnsi="Times New Roman" w:cs="Times New Roman"/>
                            <w:sz w:val="24"/>
                            <w:szCs w:val="24"/>
                          </w:rPr>
                          <w:t> </w:t>
                        </w:r>
                      </w:p>
                    </w:tc>
                    <w:tc>
                      <w:tcPr>
                        <w:tcW w:w="0" w:type="auto"/>
                        <w:hideMark/>
                      </w:tcPr>
                      <w:p w14:paraId="4FBCDBBE" w14:textId="77777777" w:rsidR="00183B43" w:rsidRPr="00183B43" w:rsidRDefault="00183B43" w:rsidP="00183B43">
                        <w:pPr>
                          <w:spacing w:after="0" w:line="240" w:lineRule="auto"/>
                          <w:rPr>
                            <w:rFonts w:ascii="Times New Roman" w:eastAsia="Times New Roman" w:hAnsi="Times New Roman" w:cs="Times New Roman"/>
                            <w:sz w:val="24"/>
                            <w:szCs w:val="24"/>
                          </w:rPr>
                        </w:pPr>
                        <w:r w:rsidRPr="00183B43">
                          <w:rPr>
                            <w:rFonts w:ascii="Times New Roman" w:eastAsia="Times New Roman" w:hAnsi="Times New Roman" w:cs="Times New Roman"/>
                            <w:sz w:val="24"/>
                            <w:szCs w:val="24"/>
                          </w:rPr>
                          <w:t> </w:t>
                        </w:r>
                      </w:p>
                    </w:tc>
                  </w:tr>
                  <w:tr w:rsidR="00183B43" w:rsidRPr="00183B43" w14:paraId="56F37E8B" w14:textId="77777777">
                    <w:trPr>
                      <w:tblCellSpacing w:w="0" w:type="dxa"/>
                    </w:trPr>
                    <w:tc>
                      <w:tcPr>
                        <w:tcW w:w="0" w:type="auto"/>
                        <w:vAlign w:val="center"/>
                        <w:hideMark/>
                      </w:tcPr>
                      <w:p w14:paraId="08E951BF"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Times New Roman" w:eastAsia="Times New Roman" w:hAnsi="Times New Roman" w:cs="Times New Roman"/>
                            <w:sz w:val="24"/>
                            <w:szCs w:val="24"/>
                          </w:rPr>
                          <w:t>Th</w:t>
                        </w:r>
                        <w:r w:rsidRPr="00183B43">
                          <w:rPr>
                            <w:rFonts w:ascii="Verdana" w:eastAsia="Times New Roman" w:hAnsi="Verdana" w:cs="Times New Roman"/>
                            <w:sz w:val="20"/>
                            <w:szCs w:val="20"/>
                          </w:rPr>
                          <w:t>e first thing we notice is that MTBE is a </w:t>
                        </w:r>
                        <w:r w:rsidRPr="00183B43">
                          <w:rPr>
                            <w:rFonts w:ascii="Verdana" w:eastAsia="Times New Roman" w:hAnsi="Verdana" w:cs="Times New Roman"/>
                            <w:i/>
                            <w:iCs/>
                            <w:sz w:val="20"/>
                            <w:szCs w:val="20"/>
                          </w:rPr>
                          <w:t>chemical</w:t>
                        </w:r>
                        <w:r w:rsidRPr="00183B43">
                          <w:rPr>
                            <w:rFonts w:ascii="Verdana" w:eastAsia="Times New Roman" w:hAnsi="Verdana" w:cs="Times New Roman"/>
                            <w:sz w:val="20"/>
                            <w:szCs w:val="20"/>
                          </w:rPr>
                          <w:t>, a man-made substance that can’t be found in nature.</w:t>
                        </w:r>
                      </w:p>
                      <w:p w14:paraId="79F1BE70"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Verdana" w:eastAsia="Times New Roman" w:hAnsi="Verdana" w:cs="Times New Roman"/>
                            <w:i/>
                            <w:iCs/>
                            <w:sz w:val="20"/>
                            <w:szCs w:val="20"/>
                          </w:rPr>
                          <w:t>Chemistry</w:t>
                        </w:r>
                        <w:r w:rsidRPr="00183B43">
                          <w:rPr>
                            <w:rFonts w:ascii="Verdana" w:eastAsia="Times New Roman" w:hAnsi="Verdana" w:cs="Times New Roman"/>
                            <w:sz w:val="20"/>
                            <w:szCs w:val="20"/>
                          </w:rPr>
                          <w:t> is that area of human endeavor where substances are combined with other substances to create new substances.</w:t>
                        </w:r>
                      </w:p>
                    </w:tc>
                    <w:tc>
                      <w:tcPr>
                        <w:tcW w:w="0" w:type="auto"/>
                        <w:hideMark/>
                      </w:tcPr>
                      <w:p w14:paraId="4A23B56A" w14:textId="3A05C865"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Times New Roman" w:eastAsia="Times New Roman" w:hAnsi="Times New Roman" w:cs="Times New Roman"/>
                            <w:noProof/>
                            <w:sz w:val="24"/>
                            <w:szCs w:val="24"/>
                          </w:rPr>
                          <w:drawing>
                            <wp:inline distT="0" distB="0" distL="0" distR="0" wp14:anchorId="759E683F" wp14:editId="2EEFA125">
                              <wp:extent cx="2660650" cy="2660650"/>
                              <wp:effectExtent l="0" t="0" r="6350" b="6350"/>
                              <wp:docPr id="10" name="Picture 10" descr="http://amiadini.com/NewsletterArchive/160702-NL192NL/envEnl-192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60702-NL192NL/envEnl-192_clip_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0650" cy="2660650"/>
                                      </a:xfrm>
                                      <a:prstGeom prst="rect">
                                        <a:avLst/>
                                      </a:prstGeom>
                                      <a:noFill/>
                                      <a:ln>
                                        <a:noFill/>
                                      </a:ln>
                                    </pic:spPr>
                                  </pic:pic>
                                </a:graphicData>
                              </a:graphic>
                            </wp:inline>
                          </w:drawing>
                        </w:r>
                      </w:p>
                    </w:tc>
                  </w:tr>
                </w:tbl>
                <w:p w14:paraId="564A8EEF"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Verdana" w:eastAsia="Times New Roman" w:hAnsi="Verdana" w:cs="Times New Roman"/>
                      <w:sz w:val="20"/>
                      <w:szCs w:val="20"/>
                    </w:rPr>
                    <w:t>MTBE is a </w:t>
                  </w:r>
                  <w:r w:rsidRPr="00183B43">
                    <w:rPr>
                      <w:rFonts w:ascii="Verdana" w:eastAsia="Times New Roman" w:hAnsi="Verdana" w:cs="Times New Roman"/>
                      <w:i/>
                      <w:iCs/>
                      <w:sz w:val="20"/>
                      <w:szCs w:val="20"/>
                    </w:rPr>
                    <w:t>compound,</w:t>
                  </w:r>
                  <w:r w:rsidRPr="00183B43">
                    <w:rPr>
                      <w:rFonts w:ascii="Verdana" w:eastAsia="Times New Roman" w:hAnsi="Verdana" w:cs="Times New Roman"/>
                      <w:sz w:val="20"/>
                      <w:szCs w:val="20"/>
                    </w:rPr>
                    <w:t> a combination of substances put together. The word comes from Latin </w:t>
                  </w:r>
                  <w:proofErr w:type="spellStart"/>
                  <w:r w:rsidRPr="00183B43">
                    <w:rPr>
                      <w:rFonts w:ascii="Verdana" w:eastAsia="Times New Roman" w:hAnsi="Verdana" w:cs="Times New Roman"/>
                      <w:i/>
                      <w:iCs/>
                      <w:sz w:val="20"/>
                      <w:szCs w:val="20"/>
                    </w:rPr>
                    <w:t>componere</w:t>
                  </w:r>
                  <w:proofErr w:type="spellEnd"/>
                  <w:r w:rsidRPr="00183B43">
                    <w:rPr>
                      <w:rFonts w:ascii="Verdana" w:eastAsia="Times New Roman" w:hAnsi="Verdana" w:cs="Times New Roman"/>
                      <w:i/>
                      <w:iCs/>
                      <w:sz w:val="20"/>
                      <w:szCs w:val="20"/>
                    </w:rPr>
                    <w:t>,</w:t>
                  </w:r>
                  <w:r w:rsidRPr="00183B43">
                    <w:rPr>
                      <w:rFonts w:ascii="Verdana" w:eastAsia="Times New Roman" w:hAnsi="Verdana" w:cs="Times New Roman"/>
                      <w:sz w:val="20"/>
                      <w:szCs w:val="20"/>
                    </w:rPr>
                    <w:t> </w:t>
                  </w:r>
                  <w:r w:rsidRPr="00183B43">
                    <w:rPr>
                      <w:rFonts w:ascii="Verdana" w:eastAsia="Times New Roman" w:hAnsi="Verdana" w:cs="Times New Roman"/>
                      <w:i/>
                      <w:iCs/>
                      <w:sz w:val="20"/>
                      <w:szCs w:val="20"/>
                    </w:rPr>
                    <w:t>com-</w:t>
                  </w:r>
                  <w:r w:rsidRPr="00183B43">
                    <w:rPr>
                      <w:rFonts w:ascii="Verdana" w:eastAsia="Times New Roman" w:hAnsi="Verdana" w:cs="Times New Roman"/>
                      <w:sz w:val="20"/>
                      <w:szCs w:val="20"/>
                    </w:rPr>
                    <w:t> (together) and </w:t>
                  </w:r>
                  <w:proofErr w:type="spellStart"/>
                  <w:r w:rsidRPr="00183B43">
                    <w:rPr>
                      <w:rFonts w:ascii="Verdana" w:eastAsia="Times New Roman" w:hAnsi="Verdana" w:cs="Times New Roman"/>
                      <w:i/>
                      <w:iCs/>
                      <w:sz w:val="20"/>
                      <w:szCs w:val="20"/>
                    </w:rPr>
                    <w:t>ponere</w:t>
                  </w:r>
                  <w:proofErr w:type="spellEnd"/>
                  <w:r w:rsidRPr="00183B43">
                    <w:rPr>
                      <w:rFonts w:ascii="Verdana" w:eastAsia="Times New Roman" w:hAnsi="Verdana" w:cs="Times New Roman"/>
                      <w:sz w:val="20"/>
                      <w:szCs w:val="20"/>
                    </w:rPr>
                    <w:t> (to put).</w:t>
                  </w:r>
                </w:p>
                <w:p w14:paraId="055A4B02"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Verdana" w:eastAsia="Times New Roman" w:hAnsi="Verdana" w:cs="Times New Roman"/>
                      <w:sz w:val="20"/>
                      <w:szCs w:val="20"/>
                    </w:rPr>
                    <w:t>MTBE is an </w:t>
                  </w:r>
                  <w:r w:rsidRPr="00183B43">
                    <w:rPr>
                      <w:rFonts w:ascii="Verdana" w:eastAsia="Times New Roman" w:hAnsi="Verdana" w:cs="Times New Roman"/>
                      <w:i/>
                      <w:iCs/>
                      <w:sz w:val="20"/>
                      <w:szCs w:val="20"/>
                    </w:rPr>
                    <w:t>organic</w:t>
                  </w:r>
                  <w:r w:rsidRPr="00183B43">
                    <w:rPr>
                      <w:rFonts w:ascii="Verdana" w:eastAsia="Times New Roman" w:hAnsi="Verdana" w:cs="Times New Roman"/>
                      <w:sz w:val="20"/>
                      <w:szCs w:val="20"/>
                    </w:rPr>
                    <w:t> compound, a substance that contains carbon. Not all carbon-containing compounds are organic, but all organic compounds contain carbon.</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634"/>
                    <w:gridCol w:w="120"/>
                    <w:gridCol w:w="4756"/>
                  </w:tblGrid>
                  <w:tr w:rsidR="00183B43" w:rsidRPr="00183B43" w14:paraId="2C592585" w14:textId="77777777">
                    <w:trPr>
                      <w:tblCellSpacing w:w="0" w:type="dxa"/>
                    </w:trPr>
                    <w:tc>
                      <w:tcPr>
                        <w:tcW w:w="0" w:type="auto"/>
                        <w:vAlign w:val="center"/>
                        <w:hideMark/>
                      </w:tcPr>
                      <w:p w14:paraId="73FC3994"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Verdana" w:eastAsia="Times New Roman" w:hAnsi="Verdana" w:cs="Times New Roman"/>
                            <w:sz w:val="20"/>
                            <w:szCs w:val="20"/>
                          </w:rPr>
                          <w:t>Molecules are the tiniest parts a substance can be divided into without losing its characteristic qualities. If you take just one molecule of table salt, it will still act to cure meat. But if you break this molecule apart, it will be salt no more.</w:t>
                        </w:r>
                      </w:p>
                      <w:p w14:paraId="2E39E943"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Verdana" w:eastAsia="Times New Roman" w:hAnsi="Verdana" w:cs="Times New Roman"/>
                            <w:sz w:val="20"/>
                            <w:szCs w:val="20"/>
                          </w:rPr>
                          <w:t>Molecules are made of groups of atoms. Simple molecules have only a few atoms. Table salt has one atom of sodium and one of chlorine. On the other side of the spectrum we have huge molecules, such as protein, made up of thousands of atoms.</w:t>
                        </w:r>
                      </w:p>
                    </w:tc>
                    <w:tc>
                      <w:tcPr>
                        <w:tcW w:w="0" w:type="auto"/>
                        <w:vAlign w:val="center"/>
                        <w:hideMark/>
                      </w:tcPr>
                      <w:p w14:paraId="7EB68AF9" w14:textId="77777777" w:rsidR="00183B43" w:rsidRPr="00183B43" w:rsidRDefault="00183B43" w:rsidP="00183B43">
                        <w:pPr>
                          <w:spacing w:after="0" w:line="240" w:lineRule="auto"/>
                          <w:rPr>
                            <w:rFonts w:ascii="Times New Roman" w:eastAsia="Times New Roman" w:hAnsi="Times New Roman" w:cs="Times New Roman"/>
                            <w:sz w:val="24"/>
                            <w:szCs w:val="24"/>
                          </w:rPr>
                        </w:pPr>
                        <w:r w:rsidRPr="00183B43">
                          <w:rPr>
                            <w:rFonts w:ascii="Times New Roman" w:eastAsia="Times New Roman" w:hAnsi="Times New Roman" w:cs="Times New Roman"/>
                            <w:sz w:val="24"/>
                            <w:szCs w:val="24"/>
                          </w:rPr>
                          <w:t> </w:t>
                        </w:r>
                      </w:p>
                    </w:tc>
                    <w:tc>
                      <w:tcPr>
                        <w:tcW w:w="0" w:type="auto"/>
                        <w:vAlign w:val="center"/>
                        <w:hideMark/>
                      </w:tcPr>
                      <w:p w14:paraId="3BFE7848" w14:textId="7E33EF28" w:rsidR="00183B43" w:rsidRPr="00183B43" w:rsidRDefault="00183B43" w:rsidP="00183B43">
                        <w:pPr>
                          <w:spacing w:after="0" w:line="240" w:lineRule="auto"/>
                          <w:rPr>
                            <w:rFonts w:ascii="Times New Roman" w:eastAsia="Times New Roman" w:hAnsi="Times New Roman" w:cs="Times New Roman"/>
                            <w:sz w:val="24"/>
                            <w:szCs w:val="24"/>
                          </w:rPr>
                        </w:pPr>
                        <w:r w:rsidRPr="00183B43">
                          <w:rPr>
                            <w:rFonts w:ascii="Times New Roman" w:eastAsia="Times New Roman" w:hAnsi="Times New Roman" w:cs="Times New Roman"/>
                            <w:noProof/>
                            <w:sz w:val="24"/>
                            <w:szCs w:val="24"/>
                          </w:rPr>
                          <w:drawing>
                            <wp:inline distT="0" distB="0" distL="0" distR="0" wp14:anchorId="5912211C" wp14:editId="68396DBE">
                              <wp:extent cx="2984500" cy="2381250"/>
                              <wp:effectExtent l="0" t="0" r="6350" b="0"/>
                              <wp:docPr id="9" name="Picture 9" descr="http://amiadini.com/NewsletterArchive/160702-NL192NL/envEnl-192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60702-NL192NL/envEnl-192_clip_image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0" cy="2381250"/>
                                      </a:xfrm>
                                      <a:prstGeom prst="rect">
                                        <a:avLst/>
                                      </a:prstGeom>
                                      <a:noFill/>
                                      <a:ln>
                                        <a:noFill/>
                                      </a:ln>
                                    </pic:spPr>
                                  </pic:pic>
                                </a:graphicData>
                              </a:graphic>
                            </wp:inline>
                          </w:drawing>
                        </w:r>
                      </w:p>
                    </w:tc>
                  </w:tr>
                </w:tbl>
                <w:p w14:paraId="73011E1B" w14:textId="77777777" w:rsidR="00183B43" w:rsidRPr="00183B43" w:rsidRDefault="00183B43" w:rsidP="00183B43">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5086"/>
                    <w:gridCol w:w="60"/>
                    <w:gridCol w:w="4364"/>
                  </w:tblGrid>
                  <w:tr w:rsidR="00183B43" w:rsidRPr="00183B43" w14:paraId="27BF3604" w14:textId="77777777">
                    <w:trPr>
                      <w:tblCellSpacing w:w="0" w:type="dxa"/>
                    </w:trPr>
                    <w:tc>
                      <w:tcPr>
                        <w:tcW w:w="0" w:type="auto"/>
                        <w:hideMark/>
                      </w:tcPr>
                      <w:p w14:paraId="0CECD3E5"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Verdana" w:eastAsia="Times New Roman" w:hAnsi="Verdana" w:cs="Times New Roman"/>
                            <w:sz w:val="20"/>
                            <w:szCs w:val="20"/>
                          </w:rPr>
                          <w:t>Studying the building blocks of the material universe can be fascinating. Brick walls are real. If you should attempt to move your body through a wall, that wall would become painfully real in a hurry.</w:t>
                        </w:r>
                      </w:p>
                      <w:p w14:paraId="7489A2D3"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Verdana" w:eastAsia="Times New Roman" w:hAnsi="Verdana" w:cs="Times New Roman"/>
                            <w:sz w:val="20"/>
                            <w:szCs w:val="20"/>
                          </w:rPr>
                          <w:t>The wall is made of tiny molecules clustered together, and the molecules are made of atoms holding hands. Atoms, in turn, are almost entirely space where a tiny mass (nucleus) is surrounded by electrons revolving far away. The electrons and the sub-particles of the nuclei are made of tiny motions. It means that our very solidly “real” matter is just a space made of highly rarified tiny motions that obey some basic rules of conduct. The reason your body doesn’t go through the nothingness which is the wall is that the body is constructed on the same order of nothingness as the wall and made to obey the same rules. Is the wall real? Yes, but only to such “real” things that were created to obey the rules of a game called </w:t>
                        </w:r>
                        <w:r w:rsidRPr="00183B43">
                          <w:rPr>
                            <w:rFonts w:ascii="Verdana" w:eastAsia="Times New Roman" w:hAnsi="Verdana" w:cs="Times New Roman"/>
                            <w:i/>
                            <w:iCs/>
                            <w:sz w:val="20"/>
                            <w:szCs w:val="20"/>
                          </w:rPr>
                          <w:t>physical universe</w:t>
                        </w:r>
                      </w:p>
                    </w:tc>
                    <w:tc>
                      <w:tcPr>
                        <w:tcW w:w="0" w:type="auto"/>
                        <w:hideMark/>
                      </w:tcPr>
                      <w:p w14:paraId="5F38600D" w14:textId="77777777" w:rsidR="00183B43" w:rsidRPr="00183B43" w:rsidRDefault="00183B43" w:rsidP="00183B43">
                        <w:pPr>
                          <w:spacing w:after="0" w:line="240" w:lineRule="auto"/>
                          <w:rPr>
                            <w:rFonts w:ascii="Times New Roman" w:eastAsia="Times New Roman" w:hAnsi="Times New Roman" w:cs="Times New Roman"/>
                            <w:sz w:val="24"/>
                            <w:szCs w:val="24"/>
                          </w:rPr>
                        </w:pPr>
                        <w:r w:rsidRPr="00183B43">
                          <w:rPr>
                            <w:rFonts w:ascii="Times New Roman" w:eastAsia="Times New Roman" w:hAnsi="Times New Roman" w:cs="Times New Roman"/>
                            <w:sz w:val="24"/>
                            <w:szCs w:val="24"/>
                          </w:rPr>
                          <w:t> </w:t>
                        </w:r>
                      </w:p>
                    </w:tc>
                    <w:tc>
                      <w:tcPr>
                        <w:tcW w:w="0" w:type="auto"/>
                        <w:hideMark/>
                      </w:tcPr>
                      <w:p w14:paraId="10C9C60A" w14:textId="205EDA76" w:rsidR="00183B43" w:rsidRPr="00183B43" w:rsidRDefault="00183B43" w:rsidP="00183B43">
                        <w:pPr>
                          <w:spacing w:before="100" w:beforeAutospacing="1" w:after="100" w:afterAutospacing="1" w:line="240" w:lineRule="auto"/>
                          <w:jc w:val="right"/>
                          <w:rPr>
                            <w:rFonts w:ascii="Times New Roman" w:eastAsia="Times New Roman" w:hAnsi="Times New Roman" w:cs="Times New Roman"/>
                            <w:sz w:val="24"/>
                            <w:szCs w:val="24"/>
                          </w:rPr>
                        </w:pPr>
                        <w:r w:rsidRPr="00183B43">
                          <w:rPr>
                            <w:rFonts w:ascii="Times New Roman" w:eastAsia="Times New Roman" w:hAnsi="Times New Roman" w:cs="Times New Roman"/>
                            <w:noProof/>
                            <w:sz w:val="24"/>
                            <w:szCs w:val="24"/>
                          </w:rPr>
                          <w:drawing>
                            <wp:inline distT="0" distB="0" distL="0" distR="0" wp14:anchorId="278D227D" wp14:editId="45E29444">
                              <wp:extent cx="2768600" cy="3810000"/>
                              <wp:effectExtent l="0" t="0" r="0" b="0"/>
                              <wp:docPr id="8" name="Picture 8" descr="http://amiadini.com/NewsletterArchive/160702-NL192NL/envEnl-192_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iadini.com/NewsletterArchive/160702-NL192NL/envEnl-192_clip_image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8600" cy="3810000"/>
                                      </a:xfrm>
                                      <a:prstGeom prst="rect">
                                        <a:avLst/>
                                      </a:prstGeom>
                                      <a:noFill/>
                                      <a:ln>
                                        <a:noFill/>
                                      </a:ln>
                                    </pic:spPr>
                                  </pic:pic>
                                </a:graphicData>
                              </a:graphic>
                            </wp:inline>
                          </w:drawing>
                        </w:r>
                      </w:p>
                    </w:tc>
                  </w:tr>
                </w:tbl>
                <w:p w14:paraId="6D87FCC2" w14:textId="77777777" w:rsidR="00183B43" w:rsidRPr="00183B43" w:rsidRDefault="00183B43" w:rsidP="00183B43">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5863"/>
                    <w:gridCol w:w="3647"/>
                  </w:tblGrid>
                  <w:tr w:rsidR="00183B43" w:rsidRPr="00183B43" w14:paraId="7F8D6F12" w14:textId="77777777">
                    <w:trPr>
                      <w:tblCellSpacing w:w="0" w:type="dxa"/>
                    </w:trPr>
                    <w:tc>
                      <w:tcPr>
                        <w:tcW w:w="0" w:type="auto"/>
                        <w:hideMark/>
                      </w:tcPr>
                      <w:p w14:paraId="14F89F5B"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Verdana" w:eastAsia="Times New Roman" w:hAnsi="Verdana" w:cs="Times New Roman"/>
                            <w:sz w:val="20"/>
                            <w:szCs w:val="20"/>
                          </w:rPr>
                          <w:t>MTBE is an organic chemical that belongs in the family of the </w:t>
                        </w:r>
                        <w:r w:rsidRPr="00183B43">
                          <w:rPr>
                            <w:rFonts w:ascii="Verdana" w:eastAsia="Times New Roman" w:hAnsi="Verdana" w:cs="Times New Roman"/>
                            <w:i/>
                            <w:iCs/>
                            <w:sz w:val="20"/>
                            <w:szCs w:val="20"/>
                          </w:rPr>
                          <w:t>ether</w:t>
                        </w:r>
                        <w:r w:rsidRPr="00183B43">
                          <w:rPr>
                            <w:rFonts w:ascii="Verdana" w:eastAsia="Times New Roman" w:hAnsi="Verdana" w:cs="Times New Roman"/>
                            <w:sz w:val="20"/>
                            <w:szCs w:val="20"/>
                          </w:rPr>
                          <w:t>. (</w:t>
                        </w:r>
                        <w:r w:rsidRPr="00183B43">
                          <w:rPr>
                            <w:rFonts w:ascii="Verdana" w:eastAsia="Times New Roman" w:hAnsi="Verdana" w:cs="Times New Roman"/>
                            <w:i/>
                            <w:iCs/>
                            <w:sz w:val="20"/>
                            <w:szCs w:val="20"/>
                          </w:rPr>
                          <w:t>Ether</w:t>
                        </w:r>
                        <w:r w:rsidRPr="00183B43">
                          <w:rPr>
                            <w:rFonts w:ascii="Verdana" w:eastAsia="Times New Roman" w:hAnsi="Verdana" w:cs="Times New Roman"/>
                            <w:sz w:val="20"/>
                            <w:szCs w:val="20"/>
                          </w:rPr>
                          <w:t> originates from a Greek word meaning </w:t>
                        </w:r>
                        <w:r w:rsidRPr="00183B43">
                          <w:rPr>
                            <w:rFonts w:ascii="Verdana" w:eastAsia="Times New Roman" w:hAnsi="Verdana" w:cs="Times New Roman"/>
                            <w:i/>
                            <w:iCs/>
                            <w:sz w:val="20"/>
                            <w:szCs w:val="20"/>
                          </w:rPr>
                          <w:t>ignite</w:t>
                        </w:r>
                        <w:r w:rsidRPr="00183B43">
                          <w:rPr>
                            <w:rFonts w:ascii="Verdana" w:eastAsia="Times New Roman" w:hAnsi="Verdana" w:cs="Times New Roman"/>
                            <w:sz w:val="20"/>
                            <w:szCs w:val="20"/>
                          </w:rPr>
                          <w:t>, </w:t>
                        </w:r>
                        <w:r w:rsidRPr="00183B43">
                          <w:rPr>
                            <w:rFonts w:ascii="Verdana" w:eastAsia="Times New Roman" w:hAnsi="Verdana" w:cs="Times New Roman"/>
                            <w:i/>
                            <w:iCs/>
                            <w:sz w:val="20"/>
                            <w:szCs w:val="20"/>
                          </w:rPr>
                          <w:t>to blaze</w:t>
                        </w:r>
                        <w:r w:rsidRPr="00183B43">
                          <w:rPr>
                            <w:rFonts w:ascii="Verdana" w:eastAsia="Times New Roman" w:hAnsi="Verdana" w:cs="Times New Roman"/>
                            <w:sz w:val="20"/>
                            <w:szCs w:val="20"/>
                          </w:rPr>
                          <w:t>.)</w:t>
                        </w:r>
                      </w:p>
                      <w:p w14:paraId="210629B9"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Verdana" w:eastAsia="Times New Roman" w:hAnsi="Verdana" w:cs="Times New Roman"/>
                            <w:sz w:val="20"/>
                            <w:szCs w:val="20"/>
                          </w:rPr>
                          <w:t>An ether molecule is an organic compound built of three connecting blocks: a middle block that is an atom of oxygen holding two other compounds, one on each side. We designate the oxygen by “O” and each of the other compounds by “R.” The “R” compounds are not necessarily identical.  Diagrammatically we show it:</w:t>
                        </w:r>
                      </w:p>
                      <w:p w14:paraId="047B5283"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Verdana" w:eastAsia="Times New Roman" w:hAnsi="Verdana" w:cs="Times New Roman"/>
                            <w:sz w:val="20"/>
                            <w:szCs w:val="20"/>
                          </w:rPr>
                          <w:t>The “O” stretches out two “hands.” Each hand clasps the hand of an “R.”</w:t>
                        </w:r>
                      </w:p>
                    </w:tc>
                    <w:tc>
                      <w:tcPr>
                        <w:tcW w:w="0" w:type="auto"/>
                        <w:vAlign w:val="bottom"/>
                        <w:hideMark/>
                      </w:tcPr>
                      <w:p w14:paraId="0A1916D4" w14:textId="629F6C4D" w:rsidR="00183B43" w:rsidRPr="00183B43" w:rsidRDefault="00183B43" w:rsidP="00183B43">
                        <w:pPr>
                          <w:spacing w:before="100" w:beforeAutospacing="1" w:after="100" w:afterAutospacing="1" w:line="240" w:lineRule="auto"/>
                          <w:jc w:val="right"/>
                          <w:rPr>
                            <w:rFonts w:ascii="Times New Roman" w:eastAsia="Times New Roman" w:hAnsi="Times New Roman" w:cs="Times New Roman"/>
                            <w:sz w:val="24"/>
                            <w:szCs w:val="24"/>
                          </w:rPr>
                        </w:pPr>
                        <w:r w:rsidRPr="00183B43">
                          <w:rPr>
                            <w:rFonts w:ascii="Times New Roman" w:eastAsia="Times New Roman" w:hAnsi="Times New Roman" w:cs="Times New Roman"/>
                            <w:noProof/>
                            <w:sz w:val="24"/>
                            <w:szCs w:val="24"/>
                          </w:rPr>
                          <w:drawing>
                            <wp:inline distT="0" distB="0" distL="0" distR="0" wp14:anchorId="6C70DDCA" wp14:editId="58C0418C">
                              <wp:extent cx="2317750" cy="1162050"/>
                              <wp:effectExtent l="0" t="0" r="6350" b="0"/>
                              <wp:docPr id="7" name="Picture 7" descr="http://amiadini.com/NewsletterArchive/160702-NL192NL/envEnl-192_clip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iadini.com/NewsletterArchive/160702-NL192NL/envEnl-192_clip_image0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0" cy="1162050"/>
                                      </a:xfrm>
                                      <a:prstGeom prst="rect">
                                        <a:avLst/>
                                      </a:prstGeom>
                                      <a:noFill/>
                                      <a:ln>
                                        <a:noFill/>
                                      </a:ln>
                                    </pic:spPr>
                                  </pic:pic>
                                </a:graphicData>
                              </a:graphic>
                            </wp:inline>
                          </w:drawing>
                        </w:r>
                      </w:p>
                    </w:tc>
                  </w:tr>
                </w:tbl>
                <w:p w14:paraId="6FEAFE3F"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Verdana" w:eastAsia="Times New Roman" w:hAnsi="Verdana" w:cs="Times New Roman"/>
                      <w:sz w:val="20"/>
                      <w:szCs w:val="20"/>
                    </w:rPr>
                    <w:t>The lighter-weight ethers, of which MTBE is a member, are fire and explosion hazards, and they are soluble in water. This high degree of solubility makes MTBE detrimental to groundwater, because it dissolves fast into the water and moves with it and through it. Gasoline compounds, such as benzene, toluene, ethyl benzene and xylenes are not as soluble as MTBE. This accounts for the phenomenon where MTBE is found in areas that have no traces of petroleum.</w:t>
                  </w:r>
                </w:p>
                <w:tbl>
                  <w:tblPr>
                    <w:tblW w:w="0" w:type="auto"/>
                    <w:tblCellSpacing w:w="0" w:type="dxa"/>
                    <w:tblCellMar>
                      <w:left w:w="0" w:type="dxa"/>
                      <w:right w:w="0" w:type="dxa"/>
                    </w:tblCellMar>
                    <w:tblLook w:val="04A0" w:firstRow="1" w:lastRow="0" w:firstColumn="1" w:lastColumn="0" w:noHBand="0" w:noVBand="1"/>
                  </w:tblPr>
                  <w:tblGrid>
                    <w:gridCol w:w="3690"/>
                    <w:gridCol w:w="5820"/>
                  </w:tblGrid>
                  <w:tr w:rsidR="00183B43" w:rsidRPr="00183B43" w14:paraId="6A54BDCB" w14:textId="77777777">
                    <w:trPr>
                      <w:tblCellSpacing w:w="0" w:type="dxa"/>
                    </w:trPr>
                    <w:tc>
                      <w:tcPr>
                        <w:tcW w:w="0" w:type="auto"/>
                        <w:vAlign w:val="center"/>
                        <w:hideMark/>
                      </w:tcPr>
                      <w:p w14:paraId="2528A8B4"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Verdana" w:eastAsia="Times New Roman" w:hAnsi="Verdana" w:cs="Times New Roman"/>
                            <w:sz w:val="20"/>
                            <w:szCs w:val="20"/>
                          </w:rPr>
                          <w:t xml:space="preserve">The image across depicts an analogy of solution where the red particles of a soluble substance (solute) hover within a medium of another substance (solvent). The solute particles have free range to move about and they “flee” from the </w:t>
                        </w:r>
                        <w:proofErr w:type="gramStart"/>
                        <w:r w:rsidRPr="00183B43">
                          <w:rPr>
                            <w:rFonts w:ascii="Verdana" w:eastAsia="Times New Roman" w:hAnsi="Verdana" w:cs="Times New Roman"/>
                            <w:sz w:val="20"/>
                            <w:szCs w:val="20"/>
                          </w:rPr>
                          <w:t>high density</w:t>
                        </w:r>
                        <w:proofErr w:type="gramEnd"/>
                        <w:r w:rsidRPr="00183B43">
                          <w:rPr>
                            <w:rFonts w:ascii="Verdana" w:eastAsia="Times New Roman" w:hAnsi="Verdana" w:cs="Times New Roman"/>
                            <w:sz w:val="20"/>
                            <w:szCs w:val="20"/>
                          </w:rPr>
                          <w:t xml:space="preserve"> zones to zones of little or no presence.</w:t>
                        </w:r>
                      </w:p>
                    </w:tc>
                    <w:tc>
                      <w:tcPr>
                        <w:tcW w:w="0" w:type="auto"/>
                        <w:hideMark/>
                      </w:tcPr>
                      <w:p w14:paraId="23DCD7EF" w14:textId="0AC45FF5" w:rsidR="00183B43" w:rsidRPr="00183B43" w:rsidRDefault="00183B43" w:rsidP="00183B43">
                        <w:pPr>
                          <w:spacing w:before="100" w:beforeAutospacing="1" w:after="100" w:afterAutospacing="1" w:line="240" w:lineRule="auto"/>
                          <w:jc w:val="right"/>
                          <w:rPr>
                            <w:rFonts w:ascii="Times New Roman" w:eastAsia="Times New Roman" w:hAnsi="Times New Roman" w:cs="Times New Roman"/>
                            <w:sz w:val="24"/>
                            <w:szCs w:val="24"/>
                          </w:rPr>
                        </w:pPr>
                        <w:r w:rsidRPr="00183B43">
                          <w:rPr>
                            <w:rFonts w:ascii="Times New Roman" w:eastAsia="Times New Roman" w:hAnsi="Times New Roman" w:cs="Times New Roman"/>
                            <w:noProof/>
                            <w:sz w:val="24"/>
                            <w:szCs w:val="24"/>
                          </w:rPr>
                          <w:drawing>
                            <wp:inline distT="0" distB="0" distL="0" distR="0" wp14:anchorId="40F97A0E" wp14:editId="76F4072E">
                              <wp:extent cx="3695700" cy="2362200"/>
                              <wp:effectExtent l="0" t="0" r="0" b="0"/>
                              <wp:docPr id="6" name="Picture 6" descr="http://amiadini.com/NewsletterArchive/160702-NL192NL/envEnl-192_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miadini.com/NewsletterArchive/160702-NL192NL/envEnl-192_clip_image0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0" cy="2362200"/>
                                      </a:xfrm>
                                      <a:prstGeom prst="rect">
                                        <a:avLst/>
                                      </a:prstGeom>
                                      <a:noFill/>
                                      <a:ln>
                                        <a:noFill/>
                                      </a:ln>
                                    </pic:spPr>
                                  </pic:pic>
                                </a:graphicData>
                              </a:graphic>
                            </wp:inline>
                          </w:drawing>
                        </w:r>
                      </w:p>
                    </w:tc>
                  </w:tr>
                  <w:tr w:rsidR="00183B43" w:rsidRPr="00183B43" w14:paraId="7946D2D4" w14:textId="77777777">
                    <w:trPr>
                      <w:tblCellSpacing w:w="0" w:type="dxa"/>
                    </w:trPr>
                    <w:tc>
                      <w:tcPr>
                        <w:tcW w:w="0" w:type="auto"/>
                        <w:gridSpan w:val="2"/>
                        <w:vAlign w:val="center"/>
                        <w:hideMark/>
                      </w:tcPr>
                      <w:p w14:paraId="50020A02" w14:textId="77777777" w:rsidR="00183B43" w:rsidRPr="00183B43" w:rsidRDefault="00183B43" w:rsidP="00183B43">
                        <w:pPr>
                          <w:spacing w:before="100" w:beforeAutospacing="1" w:after="100" w:afterAutospacing="1" w:line="240" w:lineRule="auto"/>
                          <w:jc w:val="right"/>
                          <w:rPr>
                            <w:rFonts w:ascii="Times New Roman" w:eastAsia="Times New Roman" w:hAnsi="Times New Roman" w:cs="Times New Roman"/>
                            <w:sz w:val="24"/>
                            <w:szCs w:val="24"/>
                          </w:rPr>
                        </w:pPr>
                        <w:r w:rsidRPr="00183B43">
                          <w:rPr>
                            <w:rFonts w:ascii="Verdana" w:eastAsia="Times New Roman" w:hAnsi="Verdana" w:cs="Times New Roman"/>
                            <w:sz w:val="15"/>
                            <w:szCs w:val="15"/>
                          </w:rPr>
                          <w:t xml:space="preserve">Credit: </w:t>
                        </w:r>
                        <w:proofErr w:type="spellStart"/>
                        <w:r w:rsidRPr="00183B43">
                          <w:rPr>
                            <w:rFonts w:ascii="Verdana" w:eastAsia="Times New Roman" w:hAnsi="Verdana" w:cs="Times New Roman"/>
                            <w:sz w:val="15"/>
                            <w:szCs w:val="15"/>
                          </w:rPr>
                          <w:t>Hagmann</w:t>
                        </w:r>
                        <w:proofErr w:type="spellEnd"/>
                        <w:r w:rsidRPr="00183B43">
                          <w:rPr>
                            <w:rFonts w:ascii="Verdana" w:eastAsia="Times New Roman" w:hAnsi="Verdana" w:cs="Times New Roman"/>
                            <w:sz w:val="15"/>
                            <w:szCs w:val="15"/>
                          </w:rPr>
                          <w:t xml:space="preserve">, P., </w:t>
                        </w:r>
                        <w:proofErr w:type="spellStart"/>
                        <w:r w:rsidRPr="00183B43">
                          <w:rPr>
                            <w:rFonts w:ascii="Verdana" w:eastAsia="Times New Roman" w:hAnsi="Verdana" w:cs="Times New Roman"/>
                            <w:sz w:val="15"/>
                            <w:szCs w:val="15"/>
                          </w:rPr>
                          <w:t>Cammoun</w:t>
                        </w:r>
                        <w:proofErr w:type="spellEnd"/>
                        <w:r w:rsidRPr="00183B43">
                          <w:rPr>
                            <w:rFonts w:ascii="Verdana" w:eastAsia="Times New Roman" w:hAnsi="Verdana" w:cs="Times New Roman"/>
                            <w:sz w:val="15"/>
                            <w:szCs w:val="15"/>
                          </w:rPr>
                          <w:t xml:space="preserve">, L., </w:t>
                        </w:r>
                        <w:proofErr w:type="spellStart"/>
                        <w:r w:rsidRPr="00183B43">
                          <w:rPr>
                            <w:rFonts w:ascii="Verdana" w:eastAsia="Times New Roman" w:hAnsi="Verdana" w:cs="Times New Roman"/>
                            <w:sz w:val="15"/>
                            <w:szCs w:val="15"/>
                          </w:rPr>
                          <w:t>Gigandet</w:t>
                        </w:r>
                        <w:proofErr w:type="spellEnd"/>
                        <w:r w:rsidRPr="00183B43">
                          <w:rPr>
                            <w:rFonts w:ascii="Verdana" w:eastAsia="Times New Roman" w:hAnsi="Verdana" w:cs="Times New Roman"/>
                            <w:sz w:val="15"/>
                            <w:szCs w:val="15"/>
                          </w:rPr>
                          <w:t xml:space="preserve">, X., </w:t>
                        </w:r>
                        <w:proofErr w:type="spellStart"/>
                        <w:r w:rsidRPr="00183B43">
                          <w:rPr>
                            <w:rFonts w:ascii="Verdana" w:eastAsia="Times New Roman" w:hAnsi="Verdana" w:cs="Times New Roman"/>
                            <w:sz w:val="15"/>
                            <w:szCs w:val="15"/>
                          </w:rPr>
                          <w:t>Meuli</w:t>
                        </w:r>
                        <w:proofErr w:type="spellEnd"/>
                        <w:r w:rsidRPr="00183B43">
                          <w:rPr>
                            <w:rFonts w:ascii="Verdana" w:eastAsia="Times New Roman" w:hAnsi="Verdana" w:cs="Times New Roman"/>
                            <w:sz w:val="15"/>
                            <w:szCs w:val="15"/>
                          </w:rPr>
                          <w:t xml:space="preserve">, R., Honey, C.J., </w:t>
                        </w:r>
                        <w:proofErr w:type="spellStart"/>
                        <w:r w:rsidRPr="00183B43">
                          <w:rPr>
                            <w:rFonts w:ascii="Verdana" w:eastAsia="Times New Roman" w:hAnsi="Verdana" w:cs="Times New Roman"/>
                            <w:sz w:val="15"/>
                            <w:szCs w:val="15"/>
                          </w:rPr>
                          <w:t>Wedeen</w:t>
                        </w:r>
                        <w:proofErr w:type="spellEnd"/>
                        <w:r w:rsidRPr="00183B43">
                          <w:rPr>
                            <w:rFonts w:ascii="Verdana" w:eastAsia="Times New Roman" w:hAnsi="Verdana" w:cs="Times New Roman"/>
                            <w:sz w:val="15"/>
                            <w:szCs w:val="15"/>
                          </w:rPr>
                          <w:t xml:space="preserve">, V.J., </w:t>
                        </w:r>
                        <w:proofErr w:type="spellStart"/>
                        <w:r w:rsidRPr="00183B43">
                          <w:rPr>
                            <w:rFonts w:ascii="Verdana" w:eastAsia="Times New Roman" w:hAnsi="Verdana" w:cs="Times New Roman"/>
                            <w:sz w:val="15"/>
                            <w:szCs w:val="15"/>
                          </w:rPr>
                          <w:t>Sporns</w:t>
                        </w:r>
                        <w:proofErr w:type="spellEnd"/>
                        <w:r w:rsidRPr="00183B43">
                          <w:rPr>
                            <w:rFonts w:ascii="Verdana" w:eastAsia="Times New Roman" w:hAnsi="Verdana" w:cs="Times New Roman"/>
                            <w:sz w:val="15"/>
                            <w:szCs w:val="15"/>
                          </w:rPr>
                          <w:t xml:space="preserve">, O., </w:t>
                        </w:r>
                        <w:proofErr w:type="spellStart"/>
                        <w:r w:rsidRPr="00183B43">
                          <w:rPr>
                            <w:rFonts w:ascii="Verdana" w:eastAsia="Times New Roman" w:hAnsi="Verdana" w:cs="Times New Roman"/>
                            <w:sz w:val="15"/>
                            <w:szCs w:val="15"/>
                          </w:rPr>
                          <w:t>Friston</w:t>
                        </w:r>
                        <w:proofErr w:type="spellEnd"/>
                        <w:r w:rsidRPr="00183B43">
                          <w:rPr>
                            <w:rFonts w:ascii="Verdana" w:eastAsia="Times New Roman" w:hAnsi="Verdana" w:cs="Times New Roman"/>
                            <w:sz w:val="15"/>
                            <w:szCs w:val="15"/>
                          </w:rPr>
                          <w:t>, K.J. (2008). </w:t>
                        </w:r>
                        <w:r w:rsidRPr="00183B43">
                          <w:rPr>
                            <w:rFonts w:ascii="Verdana" w:eastAsia="Times New Roman" w:hAnsi="Verdana" w:cs="Times New Roman"/>
                            <w:i/>
                            <w:iCs/>
                            <w:sz w:val="15"/>
                            <w:szCs w:val="15"/>
                          </w:rPr>
                          <w:t>Mapping the Structural Core of Human Cerebral Cortex</w:t>
                        </w:r>
                        <w:r w:rsidRPr="00183B43">
                          <w:rPr>
                            <w:rFonts w:ascii="Verdana" w:eastAsia="Times New Roman" w:hAnsi="Verdana" w:cs="Times New Roman"/>
                            <w:sz w:val="15"/>
                            <w:szCs w:val="15"/>
                          </w:rPr>
                          <w:t xml:space="preserve">. </w:t>
                        </w:r>
                        <w:proofErr w:type="spellStart"/>
                        <w:r w:rsidRPr="00183B43">
                          <w:rPr>
                            <w:rFonts w:ascii="Verdana" w:eastAsia="Times New Roman" w:hAnsi="Verdana" w:cs="Times New Roman"/>
                            <w:sz w:val="15"/>
                            <w:szCs w:val="15"/>
                          </w:rPr>
                          <w:t>PLoS</w:t>
                        </w:r>
                        <w:proofErr w:type="spellEnd"/>
                        <w:r w:rsidRPr="00183B43">
                          <w:rPr>
                            <w:rFonts w:ascii="Verdana" w:eastAsia="Times New Roman" w:hAnsi="Verdana" w:cs="Times New Roman"/>
                            <w:sz w:val="15"/>
                            <w:szCs w:val="15"/>
                          </w:rPr>
                          <w:t xml:space="preserve"> Biology, 6(7), e159. </w:t>
                        </w:r>
                        <w:proofErr w:type="gramStart"/>
                        <w:r w:rsidRPr="00183B43">
                          <w:rPr>
                            <w:rFonts w:ascii="Verdana" w:eastAsia="Times New Roman" w:hAnsi="Verdana" w:cs="Times New Roman"/>
                            <w:sz w:val="15"/>
                            <w:szCs w:val="15"/>
                          </w:rPr>
                          <w:t>DOI:10.1371/journal.pbio</w:t>
                        </w:r>
                        <w:proofErr w:type="gramEnd"/>
                        <w:r w:rsidRPr="00183B43">
                          <w:rPr>
                            <w:rFonts w:ascii="Verdana" w:eastAsia="Times New Roman" w:hAnsi="Verdana" w:cs="Times New Roman"/>
                            <w:sz w:val="15"/>
                            <w:szCs w:val="15"/>
                          </w:rPr>
                          <w:t>.0060159</w:t>
                        </w:r>
                      </w:p>
                    </w:tc>
                  </w:tr>
                </w:tbl>
                <w:p w14:paraId="2D1302A2"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Times New Roman" w:eastAsia="Times New Roman" w:hAnsi="Times New Roman" w:cs="Times New Roman"/>
                      <w:sz w:val="24"/>
                      <w:szCs w:val="24"/>
                    </w:rPr>
                    <w:t> </w:t>
                  </w:r>
                </w:p>
                <w:p w14:paraId="4D58BED1"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Verdana" w:eastAsia="Times New Roman" w:hAnsi="Verdana" w:cs="Times New Roman"/>
                      <w:sz w:val="20"/>
                      <w:szCs w:val="20"/>
                    </w:rPr>
                    <w:t>In the case of the MTBE molecule, an oxygen atom is interposed between and connects to the two compounds of </w:t>
                  </w:r>
                  <w:r w:rsidRPr="00183B43">
                    <w:rPr>
                      <w:rFonts w:ascii="Verdana" w:eastAsia="Times New Roman" w:hAnsi="Verdana" w:cs="Times New Roman"/>
                      <w:i/>
                      <w:iCs/>
                      <w:sz w:val="20"/>
                      <w:szCs w:val="20"/>
                    </w:rPr>
                    <w:t>methyl</w:t>
                  </w:r>
                  <w:r w:rsidRPr="00183B43">
                    <w:rPr>
                      <w:rFonts w:ascii="Verdana" w:eastAsia="Times New Roman" w:hAnsi="Verdana" w:cs="Times New Roman"/>
                      <w:sz w:val="20"/>
                      <w:szCs w:val="20"/>
                    </w:rPr>
                    <w:t> and </w:t>
                  </w:r>
                  <w:r w:rsidRPr="00183B43">
                    <w:rPr>
                      <w:rFonts w:ascii="Verdana" w:eastAsia="Times New Roman" w:hAnsi="Verdana" w:cs="Times New Roman"/>
                      <w:i/>
                      <w:iCs/>
                      <w:sz w:val="20"/>
                      <w:szCs w:val="20"/>
                    </w:rPr>
                    <w:t>butyl</w:t>
                  </w:r>
                  <w:r w:rsidRPr="00183B43">
                    <w:rPr>
                      <w:rFonts w:ascii="Verdana" w:eastAsia="Times New Roman" w:hAnsi="Verdana" w:cs="Times New Roman"/>
                      <w:sz w:val="20"/>
                      <w:szCs w:val="20"/>
                    </w:rPr>
                    <w:t>. These esoteric names should not dishearten you; they are simply names, not unlike Jon and Mary.</w:t>
                  </w:r>
                </w:p>
                <w:p w14:paraId="609D3A15" w14:textId="65575D4B" w:rsidR="00183B43" w:rsidRPr="00183B43" w:rsidRDefault="00183B43" w:rsidP="00183B43">
                  <w:pPr>
                    <w:spacing w:before="100" w:beforeAutospacing="1" w:after="100" w:afterAutospacing="1" w:line="240" w:lineRule="auto"/>
                    <w:jc w:val="center"/>
                    <w:rPr>
                      <w:rFonts w:ascii="Times New Roman" w:eastAsia="Times New Roman" w:hAnsi="Times New Roman" w:cs="Times New Roman"/>
                      <w:sz w:val="24"/>
                      <w:szCs w:val="24"/>
                    </w:rPr>
                  </w:pPr>
                  <w:r w:rsidRPr="00183B43">
                    <w:rPr>
                      <w:rFonts w:ascii="Times New Roman" w:eastAsia="Times New Roman" w:hAnsi="Times New Roman" w:cs="Times New Roman"/>
                      <w:noProof/>
                      <w:sz w:val="24"/>
                      <w:szCs w:val="24"/>
                    </w:rPr>
                    <w:drawing>
                      <wp:inline distT="0" distB="0" distL="0" distR="0" wp14:anchorId="3DCC45AD" wp14:editId="189D4B1D">
                        <wp:extent cx="3295650" cy="482600"/>
                        <wp:effectExtent l="0" t="0" r="0" b="0"/>
                        <wp:docPr id="5" name="Picture 5" descr="http://amiadini.com/NewsletterArchive/160702-NL192NL/envEnl-192_clip_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miadini.com/NewsletterArchive/160702-NL192NL/envEnl-192_clip_image01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5650" cy="482600"/>
                                </a:xfrm>
                                <a:prstGeom prst="rect">
                                  <a:avLst/>
                                </a:prstGeom>
                                <a:noFill/>
                                <a:ln>
                                  <a:noFill/>
                                </a:ln>
                              </pic:spPr>
                            </pic:pic>
                          </a:graphicData>
                        </a:graphic>
                      </wp:inline>
                    </w:drawing>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405"/>
                    <w:gridCol w:w="120"/>
                    <w:gridCol w:w="2985"/>
                  </w:tblGrid>
                  <w:tr w:rsidR="00183B43" w:rsidRPr="00183B43" w14:paraId="3C6F7588" w14:textId="77777777">
                    <w:trPr>
                      <w:tblCellSpacing w:w="0" w:type="dxa"/>
                    </w:trPr>
                    <w:tc>
                      <w:tcPr>
                        <w:tcW w:w="0" w:type="auto"/>
                        <w:vAlign w:val="center"/>
                        <w:hideMark/>
                      </w:tcPr>
                      <w:p w14:paraId="0ACA0F86"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Verdana" w:eastAsia="Times New Roman" w:hAnsi="Verdana" w:cs="Times New Roman"/>
                            <w:sz w:val="20"/>
                            <w:szCs w:val="20"/>
                          </w:rPr>
                          <w:t>Methyl is an organic compound built of one carbon atom clasping hands with three hydrogen atoms, like this:</w:t>
                        </w:r>
                      </w:p>
                      <w:p w14:paraId="04C23DA2"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Verdana" w:eastAsia="Times New Roman" w:hAnsi="Verdana" w:cs="Times New Roman"/>
                            <w:sz w:val="20"/>
                            <w:szCs w:val="20"/>
                          </w:rPr>
                          <w:t>This formation is given a formula CH3, where “C” designates carbon, “H” designates hydrogen, and the "3" designates the number of hydrogen atoms.</w:t>
                        </w:r>
                      </w:p>
                      <w:p w14:paraId="2AC31AF0"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Verdana" w:eastAsia="Times New Roman" w:hAnsi="Verdana" w:cs="Times New Roman"/>
                            <w:sz w:val="20"/>
                            <w:szCs w:val="20"/>
                          </w:rPr>
                          <w:t>The carbon atom has four hands to offer. The hydrogen atom has only one hand to offer. Thus, when joining hands with hydrogen atoms in the methyl group, the carbon atom has one hand left stretching and is actively seeking one more mate.</w:t>
                        </w:r>
                      </w:p>
                    </w:tc>
                    <w:tc>
                      <w:tcPr>
                        <w:tcW w:w="0" w:type="auto"/>
                        <w:vAlign w:val="center"/>
                        <w:hideMark/>
                      </w:tcPr>
                      <w:p w14:paraId="19ED2DAD" w14:textId="77777777" w:rsidR="00183B43" w:rsidRPr="00183B43" w:rsidRDefault="00183B43" w:rsidP="00183B43">
                        <w:pPr>
                          <w:spacing w:after="0" w:line="240" w:lineRule="auto"/>
                          <w:rPr>
                            <w:rFonts w:ascii="Times New Roman" w:eastAsia="Times New Roman" w:hAnsi="Times New Roman" w:cs="Times New Roman"/>
                            <w:sz w:val="24"/>
                            <w:szCs w:val="24"/>
                          </w:rPr>
                        </w:pPr>
                        <w:r w:rsidRPr="00183B43">
                          <w:rPr>
                            <w:rFonts w:ascii="Times New Roman" w:eastAsia="Times New Roman" w:hAnsi="Times New Roman" w:cs="Times New Roman"/>
                            <w:sz w:val="24"/>
                            <w:szCs w:val="24"/>
                          </w:rPr>
                          <w:t> </w:t>
                        </w:r>
                      </w:p>
                    </w:tc>
                    <w:tc>
                      <w:tcPr>
                        <w:tcW w:w="0" w:type="auto"/>
                        <w:vAlign w:val="center"/>
                        <w:hideMark/>
                      </w:tcPr>
                      <w:p w14:paraId="3AFDFA13" w14:textId="094D7BC9" w:rsidR="00183B43" w:rsidRPr="00183B43" w:rsidRDefault="00183B43" w:rsidP="00183B43">
                        <w:pPr>
                          <w:spacing w:after="0" w:line="240" w:lineRule="auto"/>
                          <w:rPr>
                            <w:rFonts w:ascii="Times New Roman" w:eastAsia="Times New Roman" w:hAnsi="Times New Roman" w:cs="Times New Roman"/>
                            <w:sz w:val="24"/>
                            <w:szCs w:val="24"/>
                          </w:rPr>
                        </w:pPr>
                        <w:r w:rsidRPr="00183B43">
                          <w:rPr>
                            <w:rFonts w:ascii="Times New Roman" w:eastAsia="Times New Roman" w:hAnsi="Times New Roman" w:cs="Times New Roman"/>
                            <w:noProof/>
                            <w:sz w:val="24"/>
                            <w:szCs w:val="24"/>
                          </w:rPr>
                          <w:drawing>
                            <wp:anchor distT="0" distB="0" distL="114300" distR="114300" simplePos="0" relativeHeight="251659264" behindDoc="0" locked="0" layoutInCell="1" allowOverlap="0" wp14:anchorId="02FD8906" wp14:editId="4350AEC4">
                              <wp:simplePos x="0" y="0"/>
                              <wp:positionH relativeFrom="column">
                                <wp:align>left</wp:align>
                              </wp:positionH>
                              <wp:positionV relativeFrom="line">
                                <wp:posOffset>0</wp:posOffset>
                              </wp:positionV>
                              <wp:extent cx="1857375" cy="1409700"/>
                              <wp:effectExtent l="0" t="0" r="9525" b="0"/>
                              <wp:wrapSquare wrapText="bothSides"/>
                              <wp:docPr id="15" name="Picture 15" descr="http://amiadini.com/NewsletterArchive/160702-NL192NL/envEnl-192_clip_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60702-NL192NL/envEnl-192_clip_image01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737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AFCB8F3"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Verdana" w:eastAsia="Times New Roman" w:hAnsi="Verdana" w:cs="Times New Roman"/>
                      <w:sz w:val="20"/>
                      <w:szCs w:val="20"/>
                    </w:rPr>
                    <w:t>Butyl is an organic compound made of four carbon atoms clasping hands with nine hydrogen atoms—its symbol is C4H9. This is a sizable group of 13 members, which gives them opportunity to arrange in various formations. Although the number of carbon and hydrogen atoms is same in all formations, each formation presents different characteristics to the outside world.</w:t>
                  </w:r>
                </w:p>
                <w:p w14:paraId="6C50143F" w14:textId="4F69D0A0" w:rsidR="00183B43" w:rsidRPr="00183B43" w:rsidRDefault="00183B43" w:rsidP="00183B43">
                  <w:pPr>
                    <w:spacing w:before="100" w:beforeAutospacing="1" w:after="100" w:afterAutospacing="1" w:line="240" w:lineRule="auto"/>
                    <w:jc w:val="center"/>
                    <w:rPr>
                      <w:rFonts w:ascii="Times New Roman" w:eastAsia="Times New Roman" w:hAnsi="Times New Roman" w:cs="Times New Roman"/>
                      <w:sz w:val="24"/>
                      <w:szCs w:val="24"/>
                    </w:rPr>
                  </w:pPr>
                  <w:r w:rsidRPr="00183B43">
                    <w:rPr>
                      <w:rFonts w:ascii="Times New Roman" w:eastAsia="Times New Roman" w:hAnsi="Times New Roman" w:cs="Times New Roman"/>
                      <w:noProof/>
                      <w:sz w:val="24"/>
                      <w:szCs w:val="24"/>
                    </w:rPr>
                    <w:drawing>
                      <wp:inline distT="0" distB="0" distL="0" distR="0" wp14:anchorId="6099C879" wp14:editId="155DED6B">
                        <wp:extent cx="5715000" cy="4095750"/>
                        <wp:effectExtent l="0" t="0" r="0" b="0"/>
                        <wp:docPr id="4" name="Picture 4" descr="http://amiadini.com/NewsletterArchive/160702-NL192NL/envEnl-192_clip_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miadini.com/NewsletterArchive/160702-NL192NL/envEnl-192_clip_image01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095750"/>
                                </a:xfrm>
                                <a:prstGeom prst="rect">
                                  <a:avLst/>
                                </a:prstGeom>
                                <a:noFill/>
                                <a:ln>
                                  <a:noFill/>
                                </a:ln>
                              </pic:spPr>
                            </pic:pic>
                          </a:graphicData>
                        </a:graphic>
                      </wp:inline>
                    </w:drawing>
                  </w:r>
                  <w:r w:rsidRPr="00183B43">
                    <w:rPr>
                      <w:rFonts w:ascii="Times New Roman" w:eastAsia="Times New Roman" w:hAnsi="Times New Roman" w:cs="Times New Roman"/>
                      <w:sz w:val="24"/>
                      <w:szCs w:val="24"/>
                    </w:rPr>
                    <w:br/>
                  </w:r>
                  <w:r w:rsidRPr="00183B43">
                    <w:rPr>
                      <w:rFonts w:ascii="Verdana" w:eastAsia="Times New Roman" w:hAnsi="Verdana" w:cs="Times New Roman"/>
                      <w:sz w:val="15"/>
                      <w:szCs w:val="15"/>
                    </w:rPr>
                    <w:t>Credit: U.S Navy photo by Photographers Mate 2nd Class Summer M. Anderson. (RELEASED) </w:t>
                  </w:r>
                  <w:r w:rsidRPr="00183B43">
                    <w:rPr>
                      <w:rFonts w:ascii="Verdana" w:eastAsia="Times New Roman" w:hAnsi="Verdana" w:cs="Times New Roman"/>
                      <w:sz w:val="15"/>
                      <w:szCs w:val="15"/>
                    </w:rPr>
                    <w:br/>
                    <w:t>(Photo courtesy of U.S. Navy)</w:t>
                  </w:r>
                </w:p>
                <w:p w14:paraId="5725AA26"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Verdana" w:eastAsia="Times New Roman" w:hAnsi="Verdana" w:cs="Times New Roman"/>
                      <w:sz w:val="20"/>
                      <w:szCs w:val="20"/>
                    </w:rPr>
                    <w:t>An analogy could be a naval fleet of four destroyers and nine missile boats. Various formations can be formed, and each would present a different problem to an opponent.</w:t>
                  </w:r>
                </w:p>
                <w:tbl>
                  <w:tblPr>
                    <w:tblW w:w="0" w:type="auto"/>
                    <w:tblCellSpacing w:w="0" w:type="dxa"/>
                    <w:tblCellMar>
                      <w:left w:w="0" w:type="dxa"/>
                      <w:right w:w="0" w:type="dxa"/>
                    </w:tblCellMar>
                    <w:tblLook w:val="04A0" w:firstRow="1" w:lastRow="0" w:firstColumn="1" w:lastColumn="0" w:noHBand="0" w:noVBand="1"/>
                  </w:tblPr>
                  <w:tblGrid>
                    <w:gridCol w:w="6179"/>
                    <w:gridCol w:w="3331"/>
                  </w:tblGrid>
                  <w:tr w:rsidR="00183B43" w:rsidRPr="00183B43" w14:paraId="03EAE3CF" w14:textId="77777777">
                    <w:trPr>
                      <w:tblCellSpacing w:w="0" w:type="dxa"/>
                    </w:trPr>
                    <w:tc>
                      <w:tcPr>
                        <w:tcW w:w="0" w:type="auto"/>
                        <w:vAlign w:val="center"/>
                        <w:hideMark/>
                      </w:tcPr>
                      <w:p w14:paraId="5AFD57FC"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Verdana" w:eastAsia="Times New Roman" w:hAnsi="Verdana" w:cs="Times New Roman"/>
                            <w:sz w:val="20"/>
                            <w:szCs w:val="20"/>
                          </w:rPr>
                          <w:t>In the MTBE party, the butyl group appears in its </w:t>
                        </w:r>
                        <w:proofErr w:type="spellStart"/>
                        <w:r w:rsidRPr="00183B43">
                          <w:rPr>
                            <w:rFonts w:ascii="Verdana" w:eastAsia="Times New Roman" w:hAnsi="Verdana" w:cs="Times New Roman"/>
                            <w:i/>
                            <w:iCs/>
                            <w:sz w:val="20"/>
                            <w:szCs w:val="20"/>
                          </w:rPr>
                          <w:t>tertiary</w:t>
                        </w:r>
                        <w:r w:rsidRPr="00183B43">
                          <w:rPr>
                            <w:rFonts w:ascii="Verdana" w:eastAsia="Times New Roman" w:hAnsi="Verdana" w:cs="Times New Roman"/>
                            <w:sz w:val="20"/>
                            <w:szCs w:val="20"/>
                          </w:rPr>
                          <w:t>form</w:t>
                        </w:r>
                        <w:proofErr w:type="spellEnd"/>
                        <w:r w:rsidRPr="00183B43">
                          <w:rPr>
                            <w:rFonts w:ascii="Verdana" w:eastAsia="Times New Roman" w:hAnsi="Verdana" w:cs="Times New Roman"/>
                            <w:sz w:val="20"/>
                            <w:szCs w:val="20"/>
                          </w:rPr>
                          <w:t>:</w:t>
                        </w:r>
                      </w:p>
                      <w:p w14:paraId="442532C4"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Verdana" w:eastAsia="Times New Roman" w:hAnsi="Verdana" w:cs="Times New Roman"/>
                            <w:sz w:val="20"/>
                            <w:szCs w:val="20"/>
                          </w:rPr>
                          <w:t>It is </w:t>
                        </w:r>
                        <w:r w:rsidRPr="00183B43">
                          <w:rPr>
                            <w:rFonts w:ascii="Verdana" w:eastAsia="Times New Roman" w:hAnsi="Verdana" w:cs="Times New Roman"/>
                            <w:i/>
                            <w:iCs/>
                            <w:sz w:val="20"/>
                            <w:szCs w:val="20"/>
                          </w:rPr>
                          <w:t>tertiary</w:t>
                        </w:r>
                        <w:r w:rsidRPr="00183B43">
                          <w:rPr>
                            <w:rFonts w:ascii="Verdana" w:eastAsia="Times New Roman" w:hAnsi="Verdana" w:cs="Times New Roman"/>
                            <w:sz w:val="20"/>
                            <w:szCs w:val="20"/>
                          </w:rPr>
                          <w:t> because </w:t>
                        </w:r>
                        <w:r w:rsidRPr="00183B43">
                          <w:rPr>
                            <w:rFonts w:ascii="Verdana" w:eastAsia="Times New Roman" w:hAnsi="Verdana" w:cs="Times New Roman"/>
                            <w:i/>
                            <w:iCs/>
                            <w:sz w:val="20"/>
                            <w:szCs w:val="20"/>
                          </w:rPr>
                          <w:t>three</w:t>
                        </w:r>
                        <w:r w:rsidRPr="00183B43">
                          <w:rPr>
                            <w:rFonts w:ascii="Verdana" w:eastAsia="Times New Roman" w:hAnsi="Verdana" w:cs="Times New Roman"/>
                            <w:sz w:val="20"/>
                            <w:szCs w:val="20"/>
                          </w:rPr>
                          <w:t> CH3 groups clasp hands with the carbon.</w:t>
                        </w:r>
                      </w:p>
                    </w:tc>
                    <w:tc>
                      <w:tcPr>
                        <w:tcW w:w="0" w:type="auto"/>
                        <w:hideMark/>
                      </w:tcPr>
                      <w:p w14:paraId="62196956" w14:textId="3A721260"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Times New Roman" w:eastAsia="Times New Roman" w:hAnsi="Times New Roman" w:cs="Times New Roman"/>
                            <w:noProof/>
                            <w:sz w:val="24"/>
                            <w:szCs w:val="24"/>
                          </w:rPr>
                          <w:drawing>
                            <wp:inline distT="0" distB="0" distL="0" distR="0" wp14:anchorId="06ACC6DE" wp14:editId="3BE42527">
                              <wp:extent cx="2114550" cy="1854200"/>
                              <wp:effectExtent l="0" t="0" r="0" b="0"/>
                              <wp:docPr id="3" name="Picture 3" descr="http://amiadini.com/NewsletterArchive/160702-NL192NL/envEnl-192_clip_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miadini.com/NewsletterArchive/160702-NL192NL/envEnl-192_clip_image01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4550" cy="1854200"/>
                                      </a:xfrm>
                                      <a:prstGeom prst="rect">
                                        <a:avLst/>
                                      </a:prstGeom>
                                      <a:noFill/>
                                      <a:ln>
                                        <a:noFill/>
                                      </a:ln>
                                    </pic:spPr>
                                  </pic:pic>
                                </a:graphicData>
                              </a:graphic>
                            </wp:inline>
                          </w:drawing>
                        </w:r>
                      </w:p>
                    </w:tc>
                  </w:tr>
                </w:tbl>
                <w:p w14:paraId="65322E53" w14:textId="77777777" w:rsidR="00183B43" w:rsidRPr="00183B43" w:rsidRDefault="00183B43" w:rsidP="00183B43">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3825"/>
                    <w:gridCol w:w="60"/>
                    <w:gridCol w:w="5625"/>
                  </w:tblGrid>
                  <w:tr w:rsidR="00183B43" w:rsidRPr="00183B43" w14:paraId="7C4CB14A" w14:textId="77777777">
                    <w:trPr>
                      <w:tblCellSpacing w:w="0" w:type="dxa"/>
                    </w:trPr>
                    <w:tc>
                      <w:tcPr>
                        <w:tcW w:w="0" w:type="auto"/>
                        <w:vAlign w:val="center"/>
                        <w:hideMark/>
                      </w:tcPr>
                      <w:p w14:paraId="512813D9" w14:textId="77777777" w:rsidR="00183B43" w:rsidRPr="00183B43" w:rsidRDefault="00183B43" w:rsidP="00183B43">
                        <w:pPr>
                          <w:spacing w:after="0" w:line="240" w:lineRule="auto"/>
                          <w:rPr>
                            <w:rFonts w:ascii="Times New Roman" w:eastAsia="Times New Roman" w:hAnsi="Times New Roman" w:cs="Times New Roman"/>
                            <w:sz w:val="24"/>
                            <w:szCs w:val="24"/>
                          </w:rPr>
                        </w:pPr>
                        <w:r w:rsidRPr="00183B43">
                          <w:rPr>
                            <w:rFonts w:ascii="Verdana" w:eastAsia="Times New Roman" w:hAnsi="Verdana" w:cs="Times New Roman"/>
                            <w:sz w:val="20"/>
                            <w:szCs w:val="20"/>
                          </w:rPr>
                          <w:t>We position the </w:t>
                        </w:r>
                        <w:r w:rsidRPr="00183B43">
                          <w:rPr>
                            <w:rFonts w:ascii="Verdana" w:eastAsia="Times New Roman" w:hAnsi="Verdana" w:cs="Times New Roman"/>
                            <w:i/>
                            <w:iCs/>
                            <w:sz w:val="20"/>
                            <w:szCs w:val="20"/>
                          </w:rPr>
                          <w:t>tertiary </w:t>
                        </w:r>
                        <w:r w:rsidRPr="00183B43">
                          <w:rPr>
                            <w:rFonts w:ascii="Verdana" w:eastAsia="Times New Roman" w:hAnsi="Verdana" w:cs="Times New Roman"/>
                            <w:sz w:val="20"/>
                            <w:szCs w:val="20"/>
                          </w:rPr>
                          <w:t>butyl on the left with an oxygen atom in the middle and the methyl on the right, and we get the ether compound called MTBE:</w:t>
                        </w:r>
                      </w:p>
                    </w:tc>
                    <w:tc>
                      <w:tcPr>
                        <w:tcW w:w="0" w:type="auto"/>
                        <w:vAlign w:val="center"/>
                        <w:hideMark/>
                      </w:tcPr>
                      <w:p w14:paraId="098E42AD"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Times New Roman" w:eastAsia="Times New Roman" w:hAnsi="Times New Roman" w:cs="Times New Roman"/>
                            <w:sz w:val="24"/>
                            <w:szCs w:val="24"/>
                          </w:rPr>
                          <w:t> </w:t>
                        </w:r>
                      </w:p>
                    </w:tc>
                    <w:tc>
                      <w:tcPr>
                        <w:tcW w:w="0" w:type="auto"/>
                        <w:vAlign w:val="center"/>
                        <w:hideMark/>
                      </w:tcPr>
                      <w:p w14:paraId="31A0AE55" w14:textId="6164E7E9"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Times New Roman" w:eastAsia="Times New Roman" w:hAnsi="Times New Roman" w:cs="Times New Roman"/>
                            <w:noProof/>
                            <w:sz w:val="24"/>
                            <w:szCs w:val="24"/>
                          </w:rPr>
                          <w:drawing>
                            <wp:inline distT="0" distB="0" distL="0" distR="0" wp14:anchorId="2D55DE42" wp14:editId="3E0859AC">
                              <wp:extent cx="3568700" cy="2355850"/>
                              <wp:effectExtent l="0" t="0" r="0" b="6350"/>
                              <wp:docPr id="2" name="Picture 2" descr="http://amiadini.com/NewsletterArchive/160702-NL192NL/envEnl-192_clip_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miadini.com/NewsletterArchive/160702-NL192NL/envEnl-192_clip_image02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68700" cy="2355850"/>
                                      </a:xfrm>
                                      <a:prstGeom prst="rect">
                                        <a:avLst/>
                                      </a:prstGeom>
                                      <a:noFill/>
                                      <a:ln>
                                        <a:noFill/>
                                      </a:ln>
                                    </pic:spPr>
                                  </pic:pic>
                                </a:graphicData>
                              </a:graphic>
                            </wp:inline>
                          </w:drawing>
                        </w:r>
                      </w:p>
                    </w:tc>
                  </w:tr>
                </w:tbl>
                <w:p w14:paraId="253A6FDA"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Verdana" w:eastAsia="Times New Roman" w:hAnsi="Verdana" w:cs="Times New Roman"/>
                      <w:sz w:val="20"/>
                      <w:szCs w:val="20"/>
                    </w:rPr>
                    <w:t>The association is now complete, no hand left stretching out. This is a stable association. We name it </w:t>
                  </w:r>
                  <w:r w:rsidRPr="00183B43">
                    <w:rPr>
                      <w:rFonts w:ascii="Verdana" w:eastAsia="Times New Roman" w:hAnsi="Verdana" w:cs="Times New Roman"/>
                      <w:i/>
                      <w:iCs/>
                      <w:sz w:val="20"/>
                      <w:szCs w:val="20"/>
                    </w:rPr>
                    <w:t>methyl tert-butyl ether</w:t>
                  </w:r>
                  <w:r w:rsidRPr="00183B43">
                    <w:rPr>
                      <w:rFonts w:ascii="Verdana" w:eastAsia="Times New Roman" w:hAnsi="Verdana" w:cs="Times New Roman"/>
                      <w:sz w:val="20"/>
                      <w:szCs w:val="20"/>
                    </w:rPr>
                    <w:t>, where </w:t>
                  </w:r>
                  <w:proofErr w:type="spellStart"/>
                  <w:r w:rsidRPr="00183B43">
                    <w:rPr>
                      <w:rFonts w:ascii="Verdana" w:eastAsia="Times New Roman" w:hAnsi="Verdana" w:cs="Times New Roman"/>
                      <w:i/>
                      <w:iCs/>
                      <w:sz w:val="20"/>
                      <w:szCs w:val="20"/>
                    </w:rPr>
                    <w:t>tert</w:t>
                  </w:r>
                  <w:proofErr w:type="spellEnd"/>
                  <w:r w:rsidRPr="00183B43">
                    <w:rPr>
                      <w:rFonts w:ascii="Verdana" w:eastAsia="Times New Roman" w:hAnsi="Verdana" w:cs="Times New Roman"/>
                      <w:sz w:val="20"/>
                      <w:szCs w:val="20"/>
                    </w:rPr>
                    <w:t> is short for </w:t>
                  </w:r>
                  <w:r w:rsidRPr="00183B43">
                    <w:rPr>
                      <w:rFonts w:ascii="Verdana" w:eastAsia="Times New Roman" w:hAnsi="Verdana" w:cs="Times New Roman"/>
                      <w:i/>
                      <w:iCs/>
                      <w:sz w:val="20"/>
                      <w:szCs w:val="20"/>
                    </w:rPr>
                    <w:t>tertiary, </w:t>
                  </w:r>
                  <w:r w:rsidRPr="00183B43">
                    <w:rPr>
                      <w:rFonts w:ascii="Verdana" w:eastAsia="Times New Roman" w:hAnsi="Verdana" w:cs="Times New Roman"/>
                      <w:sz w:val="20"/>
                      <w:szCs w:val="20"/>
                    </w:rPr>
                    <w:t>and we shorten it to MTBE.</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955"/>
                    <w:gridCol w:w="120"/>
                    <w:gridCol w:w="3435"/>
                  </w:tblGrid>
                  <w:tr w:rsidR="00183B43" w:rsidRPr="00183B43" w14:paraId="430086A5" w14:textId="77777777">
                    <w:trPr>
                      <w:tblCellSpacing w:w="0" w:type="dxa"/>
                    </w:trPr>
                    <w:tc>
                      <w:tcPr>
                        <w:tcW w:w="0" w:type="auto"/>
                        <w:vAlign w:val="center"/>
                        <w:hideMark/>
                      </w:tcPr>
                      <w:p w14:paraId="4DE1BD5C"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Verdana" w:eastAsia="Times New Roman" w:hAnsi="Verdana" w:cs="Times New Roman"/>
                            <w:sz w:val="20"/>
                            <w:szCs w:val="20"/>
                          </w:rPr>
                          <w:t>In March 2000, the California State Water Resources Control Board issued </w:t>
                        </w:r>
                        <w:r w:rsidRPr="00183B43">
                          <w:rPr>
                            <w:rFonts w:ascii="Verdana" w:eastAsia="Times New Roman" w:hAnsi="Verdana" w:cs="Times New Roman"/>
                            <w:i/>
                            <w:iCs/>
                            <w:sz w:val="20"/>
                            <w:szCs w:val="20"/>
                          </w:rPr>
                          <w:t>Guidelines for Investigation and Cleanup of MTBE.</w:t>
                        </w:r>
                        <w:r w:rsidRPr="00183B43">
                          <w:rPr>
                            <w:rFonts w:ascii="Verdana" w:eastAsia="Times New Roman" w:hAnsi="Verdana" w:cs="Times New Roman"/>
                            <w:sz w:val="20"/>
                            <w:szCs w:val="20"/>
                          </w:rPr>
                          <w:t> The following quotes pertain to the nature of MTBE:</w:t>
                        </w:r>
                      </w:p>
                      <w:p w14:paraId="682A50FB"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Verdana" w:eastAsia="Times New Roman" w:hAnsi="Verdana" w:cs="Times New Roman"/>
                            <w:sz w:val="20"/>
                            <w:szCs w:val="20"/>
                          </w:rPr>
                          <w:t>"…the standard approach for dealing with petroleum releases… will not suffice for MTBE, because unlike traditional petroleum constituents such as benzene, MTBE moves quickly to pollute water and is slow to degrade in the subsurface environment. Response time is critical for MTBE."</w:t>
                        </w:r>
                      </w:p>
                      <w:p w14:paraId="3A718FDD"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Verdana" w:eastAsia="Times New Roman" w:hAnsi="Verdana" w:cs="Times New Roman"/>
                            <w:sz w:val="20"/>
                            <w:szCs w:val="20"/>
                          </w:rPr>
                          <w:t xml:space="preserve">"MTBE has been added to gasoline to enhance octane and to comply with clean air mandates. It was approved by the USEPA for use in 1979 and was added to gasoline during the 1980s at approximately 2-5% by volume as an octane booster. In 1992, it was blended at 10-15% by volume for use in some areas in the wintertime oxygenated fuel program. In 1996, it began to be used </w:t>
                        </w:r>
                        <w:proofErr w:type="gramStart"/>
                        <w:r w:rsidRPr="00183B43">
                          <w:rPr>
                            <w:rFonts w:ascii="Verdana" w:eastAsia="Times New Roman" w:hAnsi="Verdana" w:cs="Times New Roman"/>
                            <w:sz w:val="20"/>
                            <w:szCs w:val="20"/>
                          </w:rPr>
                          <w:t>year round</w:t>
                        </w:r>
                        <w:proofErr w:type="gramEnd"/>
                        <w:r w:rsidRPr="00183B43">
                          <w:rPr>
                            <w:rFonts w:ascii="Verdana" w:eastAsia="Times New Roman" w:hAnsi="Verdana" w:cs="Times New Roman"/>
                            <w:sz w:val="20"/>
                            <w:szCs w:val="20"/>
                          </w:rPr>
                          <w:t xml:space="preserve"> at 11% by volume in the statewide reformulated gasoline program."</w:t>
                        </w:r>
                      </w:p>
                    </w:tc>
                    <w:tc>
                      <w:tcPr>
                        <w:tcW w:w="0" w:type="auto"/>
                        <w:vAlign w:val="center"/>
                        <w:hideMark/>
                      </w:tcPr>
                      <w:p w14:paraId="31A8F398" w14:textId="77777777" w:rsidR="00183B43" w:rsidRPr="00183B43" w:rsidRDefault="00183B43" w:rsidP="00183B43">
                        <w:pPr>
                          <w:spacing w:after="0" w:line="240" w:lineRule="auto"/>
                          <w:rPr>
                            <w:rFonts w:ascii="Times New Roman" w:eastAsia="Times New Roman" w:hAnsi="Times New Roman" w:cs="Times New Roman"/>
                            <w:sz w:val="24"/>
                            <w:szCs w:val="24"/>
                          </w:rPr>
                        </w:pPr>
                        <w:r w:rsidRPr="00183B43">
                          <w:rPr>
                            <w:rFonts w:ascii="Times New Roman" w:eastAsia="Times New Roman" w:hAnsi="Times New Roman" w:cs="Times New Roman"/>
                            <w:sz w:val="24"/>
                            <w:szCs w:val="24"/>
                          </w:rPr>
                          <w:t> </w:t>
                        </w:r>
                      </w:p>
                    </w:tc>
                    <w:tc>
                      <w:tcPr>
                        <w:tcW w:w="0" w:type="auto"/>
                        <w:vAlign w:val="center"/>
                        <w:hideMark/>
                      </w:tcPr>
                      <w:p w14:paraId="3995CDAF" w14:textId="341A910D" w:rsidR="00183B43" w:rsidRPr="00183B43" w:rsidRDefault="00183B43" w:rsidP="00183B43">
                        <w:pPr>
                          <w:spacing w:after="0" w:line="240" w:lineRule="auto"/>
                          <w:rPr>
                            <w:rFonts w:ascii="Times New Roman" w:eastAsia="Times New Roman" w:hAnsi="Times New Roman" w:cs="Times New Roman"/>
                            <w:sz w:val="24"/>
                            <w:szCs w:val="24"/>
                          </w:rPr>
                        </w:pPr>
                        <w:r w:rsidRPr="00183B43">
                          <w:rPr>
                            <w:rFonts w:ascii="Times New Roman" w:eastAsia="Times New Roman" w:hAnsi="Times New Roman" w:cs="Times New Roman"/>
                            <w:noProof/>
                            <w:sz w:val="24"/>
                            <w:szCs w:val="24"/>
                          </w:rPr>
                          <w:drawing>
                            <wp:anchor distT="0" distB="0" distL="114300" distR="114300" simplePos="0" relativeHeight="251660288" behindDoc="0" locked="0" layoutInCell="1" allowOverlap="0" wp14:anchorId="537E6F10" wp14:editId="66ADC990">
                              <wp:simplePos x="0" y="0"/>
                              <wp:positionH relativeFrom="column">
                                <wp:align>left</wp:align>
                              </wp:positionH>
                              <wp:positionV relativeFrom="line">
                                <wp:posOffset>0</wp:posOffset>
                              </wp:positionV>
                              <wp:extent cx="2143125" cy="2143125"/>
                              <wp:effectExtent l="0" t="0" r="9525" b="9525"/>
                              <wp:wrapSquare wrapText="bothSides"/>
                              <wp:docPr id="14" name="Picture 14" descr="http://amiadini.com/NewsletterArchive/160702-NL192NL/envEnl-192_clip_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60702-NL192NL/envEnl-192_clip_image02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63A3A24"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Verdana" w:eastAsia="Times New Roman" w:hAnsi="Verdana" w:cs="Times New Roman"/>
                      <w:sz w:val="20"/>
                      <w:szCs w:val="20"/>
                    </w:rPr>
                    <w:t xml:space="preserve">“Relative to other fuel hydrocarbons, MTBE has high solubility in water. The compound has low retardation in groundwater </w:t>
                  </w:r>
                  <w:proofErr w:type="gramStart"/>
                  <w:r w:rsidRPr="00183B43">
                    <w:rPr>
                      <w:rFonts w:ascii="Verdana" w:eastAsia="Times New Roman" w:hAnsi="Verdana" w:cs="Times New Roman"/>
                      <w:sz w:val="20"/>
                      <w:szCs w:val="20"/>
                    </w:rPr>
                    <w:t>aquifers, and</w:t>
                  </w:r>
                  <w:proofErr w:type="gramEnd"/>
                  <w:r w:rsidRPr="00183B43">
                    <w:rPr>
                      <w:rFonts w:ascii="Verdana" w:eastAsia="Times New Roman" w:hAnsi="Verdana" w:cs="Times New Roman"/>
                      <w:sz w:val="20"/>
                      <w:szCs w:val="20"/>
                    </w:rPr>
                    <w:t xml:space="preserve"> is slow to biodegrade. These properties, combined with a high percentage in gasoline, cause the potential for high source area concentrations, long plumes in groundwater, and long residence times in the subsurface. It also has taste and odor characteristics that can impair water supplies at very low concentrations.”</w:t>
                  </w:r>
                </w:p>
                <w:p w14:paraId="02D53486"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Verdana" w:eastAsia="Times New Roman" w:hAnsi="Verdana" w:cs="Times New Roman"/>
                      <w:sz w:val="20"/>
                      <w:szCs w:val="20"/>
                    </w:rPr>
                    <w:t>“There have been impacts on drinking water wells at dozens of sites in California…. In addition, there are thousands of underground storage tank sites with MTBE detected in the groundwater. Other sources of MTBE release to the environment include above ground storage tanks, spills, pipelines, etc.”</w:t>
                  </w:r>
                </w:p>
                <w:p w14:paraId="484CAA0F" w14:textId="4DEECBBA" w:rsidR="00183B43" w:rsidRPr="00183B43" w:rsidRDefault="00183B43" w:rsidP="00183B43">
                  <w:pPr>
                    <w:spacing w:before="100" w:beforeAutospacing="1" w:after="100" w:afterAutospacing="1" w:line="240" w:lineRule="auto"/>
                    <w:jc w:val="center"/>
                    <w:rPr>
                      <w:rFonts w:ascii="Times New Roman" w:eastAsia="Times New Roman" w:hAnsi="Times New Roman" w:cs="Times New Roman"/>
                      <w:sz w:val="24"/>
                      <w:szCs w:val="24"/>
                    </w:rPr>
                  </w:pPr>
                  <w:r w:rsidRPr="00183B43">
                    <w:rPr>
                      <w:rFonts w:ascii="Times New Roman" w:eastAsia="Times New Roman" w:hAnsi="Times New Roman" w:cs="Times New Roman"/>
                      <w:noProof/>
                      <w:sz w:val="24"/>
                      <w:szCs w:val="24"/>
                    </w:rPr>
                    <w:drawing>
                      <wp:inline distT="0" distB="0" distL="0" distR="0" wp14:anchorId="523C58E0" wp14:editId="2B253854">
                        <wp:extent cx="4724400" cy="3581400"/>
                        <wp:effectExtent l="0" t="0" r="0" b="0"/>
                        <wp:docPr id="1" name="Picture 1" descr="http://amiadini.com/NewsletterArchive/160702-NL192NL/envEnl-192_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miadini.com/NewsletterArchive/160702-NL192NL/envEnl-192_clip_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400" cy="3581400"/>
                                </a:xfrm>
                                <a:prstGeom prst="rect">
                                  <a:avLst/>
                                </a:prstGeom>
                                <a:noFill/>
                                <a:ln>
                                  <a:noFill/>
                                </a:ln>
                              </pic:spPr>
                            </pic:pic>
                          </a:graphicData>
                        </a:graphic>
                      </wp:inline>
                    </w:drawing>
                  </w:r>
                </w:p>
              </w:tc>
            </w:tr>
            <w:tr w:rsidR="00183B43" w:rsidRPr="00183B43" w14:paraId="123D8B01"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5F45C258" w14:textId="77777777" w:rsidR="00183B43" w:rsidRPr="00183B43" w:rsidRDefault="00183B43" w:rsidP="00183B43">
                  <w:pPr>
                    <w:spacing w:before="100" w:beforeAutospacing="1" w:after="100" w:afterAutospacing="1" w:line="240" w:lineRule="auto"/>
                    <w:rPr>
                      <w:rFonts w:ascii="Times New Roman" w:eastAsia="Times New Roman" w:hAnsi="Times New Roman" w:cs="Times New Roman"/>
                      <w:sz w:val="24"/>
                      <w:szCs w:val="24"/>
                    </w:rPr>
                  </w:pPr>
                  <w:r w:rsidRPr="00183B43">
                    <w:rPr>
                      <w:rFonts w:ascii="Verdana" w:eastAsia="Times New Roman" w:hAnsi="Verdana" w:cs="Times New Roman"/>
                      <w:sz w:val="20"/>
                      <w:szCs w:val="20"/>
                    </w:rPr>
                    <w:t>You can find past issues of our "Environmental Enlightenment" at </w:t>
                  </w:r>
                  <w:hyperlink r:id="rId18" w:history="1">
                    <w:r w:rsidRPr="00183B43">
                      <w:rPr>
                        <w:rFonts w:ascii="Verdana" w:eastAsia="Times New Roman" w:hAnsi="Verdana" w:cs="Times New Roman"/>
                        <w:color w:val="0000FF"/>
                        <w:sz w:val="20"/>
                        <w:szCs w:val="20"/>
                        <w:u w:val="single"/>
                      </w:rPr>
                      <w:t>amiadini.com</w:t>
                    </w:r>
                  </w:hyperlink>
                  <w:r w:rsidRPr="00183B43">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5E0A6174" w14:textId="77777777" w:rsidR="00183B43" w:rsidRPr="00183B43" w:rsidRDefault="00183B43" w:rsidP="00183B43">
            <w:pPr>
              <w:spacing w:after="0" w:line="240" w:lineRule="auto"/>
              <w:jc w:val="center"/>
              <w:rPr>
                <w:rFonts w:ascii="Verdana" w:eastAsia="Times New Roman" w:hAnsi="Verdana" w:cs="Times New Roman"/>
                <w:vanish/>
                <w:color w:val="000000"/>
                <w:sz w:val="20"/>
                <w:szCs w:val="20"/>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183B43" w:rsidRPr="00183B43" w14:paraId="0A45F71F" w14:textId="77777777">
              <w:trPr>
                <w:tblCellSpacing w:w="0" w:type="dxa"/>
                <w:jc w:val="center"/>
              </w:trPr>
              <w:tc>
                <w:tcPr>
                  <w:tcW w:w="0" w:type="auto"/>
                  <w:vAlign w:val="center"/>
                  <w:hideMark/>
                </w:tcPr>
                <w:p w14:paraId="4F4992E7" w14:textId="77777777" w:rsidR="00183B43" w:rsidRPr="00183B43" w:rsidRDefault="00183B43" w:rsidP="00183B43">
                  <w:pPr>
                    <w:spacing w:before="100" w:beforeAutospacing="1" w:after="100" w:afterAutospacing="1" w:line="240" w:lineRule="auto"/>
                    <w:jc w:val="center"/>
                    <w:rPr>
                      <w:rFonts w:ascii="Times New Roman" w:eastAsia="Times New Roman" w:hAnsi="Times New Roman" w:cs="Times New Roman"/>
                      <w:sz w:val="24"/>
                      <w:szCs w:val="24"/>
                    </w:rPr>
                  </w:pPr>
                  <w:r w:rsidRPr="00183B43">
                    <w:rPr>
                      <w:rFonts w:ascii="Verdana" w:eastAsia="Times New Roman" w:hAnsi="Verdana" w:cs="Times New Roman"/>
                      <w:sz w:val="20"/>
                      <w:szCs w:val="20"/>
                    </w:rPr>
                    <w:t>Call me if you have any questions. There are </w:t>
                  </w:r>
                  <w:r w:rsidRPr="00183B43">
                    <w:rPr>
                      <w:rFonts w:ascii="Verdana" w:eastAsia="Times New Roman" w:hAnsi="Verdana" w:cs="Times New Roman"/>
                      <w:b/>
                      <w:bCs/>
                      <w:sz w:val="20"/>
                      <w:szCs w:val="20"/>
                    </w:rPr>
                    <w:t>no obligations.</w:t>
                  </w:r>
                  <w:r w:rsidRPr="00183B43">
                    <w:rPr>
                      <w:rFonts w:ascii="Verdana" w:eastAsia="Times New Roman" w:hAnsi="Verdana" w:cs="Times New Roman"/>
                      <w:sz w:val="20"/>
                      <w:szCs w:val="20"/>
                    </w:rPr>
                    <w:br/>
                  </w:r>
                  <w:r w:rsidRPr="00183B43">
                    <w:rPr>
                      <w:rFonts w:ascii="Verdana" w:eastAsia="Times New Roman" w:hAnsi="Verdana" w:cs="Times New Roman"/>
                      <w:sz w:val="20"/>
                      <w:szCs w:val="20"/>
                    </w:rPr>
                    <w:br/>
                    <w:t xml:space="preserve">Ami </w:t>
                  </w:r>
                  <w:proofErr w:type="spellStart"/>
                  <w:r w:rsidRPr="00183B43">
                    <w:rPr>
                      <w:rFonts w:ascii="Verdana" w:eastAsia="Times New Roman" w:hAnsi="Verdana" w:cs="Times New Roman"/>
                      <w:sz w:val="20"/>
                      <w:szCs w:val="20"/>
                    </w:rPr>
                    <w:t>Adini</w:t>
                  </w:r>
                  <w:proofErr w:type="spellEnd"/>
                  <w:r w:rsidRPr="00183B43">
                    <w:rPr>
                      <w:rFonts w:ascii="Verdana" w:eastAsia="Times New Roman" w:hAnsi="Verdana" w:cs="Times New Roman"/>
                      <w:sz w:val="20"/>
                      <w:szCs w:val="20"/>
                    </w:rPr>
                    <w:t xml:space="preserve"> Environmental Services, Inc.</w:t>
                  </w:r>
                  <w:r w:rsidRPr="00183B43">
                    <w:rPr>
                      <w:rFonts w:ascii="Verdana" w:eastAsia="Times New Roman" w:hAnsi="Verdana" w:cs="Times New Roman"/>
                      <w:sz w:val="20"/>
                      <w:szCs w:val="20"/>
                    </w:rPr>
                    <w:br/>
                    <w:t>Environmental Consultants &amp; General Engineering Contractors</w:t>
                  </w:r>
                  <w:r w:rsidRPr="00183B43">
                    <w:rPr>
                      <w:rFonts w:ascii="Verdana" w:eastAsia="Times New Roman" w:hAnsi="Verdana" w:cs="Times New Roman"/>
                      <w:sz w:val="20"/>
                      <w:szCs w:val="20"/>
                    </w:rPr>
                    <w:br/>
                    <w:t xml:space="preserve">California </w:t>
                  </w:r>
                  <w:proofErr w:type="spellStart"/>
                  <w:r w:rsidRPr="00183B43">
                    <w:rPr>
                      <w:rFonts w:ascii="Verdana" w:eastAsia="Times New Roman" w:hAnsi="Verdana" w:cs="Times New Roman"/>
                      <w:sz w:val="20"/>
                      <w:szCs w:val="20"/>
                    </w:rPr>
                    <w:t>Lic</w:t>
                  </w:r>
                  <w:proofErr w:type="spellEnd"/>
                  <w:r w:rsidRPr="00183B43">
                    <w:rPr>
                      <w:rFonts w:ascii="Verdana" w:eastAsia="Times New Roman" w:hAnsi="Verdana" w:cs="Times New Roman"/>
                      <w:sz w:val="20"/>
                      <w:szCs w:val="20"/>
                    </w:rPr>
                    <w:t>. #1009513 A B HAZ ASB</w:t>
                  </w:r>
                  <w:r w:rsidRPr="00183B43">
                    <w:rPr>
                      <w:rFonts w:ascii="Verdana" w:eastAsia="Times New Roman" w:hAnsi="Verdana" w:cs="Times New Roman"/>
                      <w:sz w:val="20"/>
                      <w:szCs w:val="20"/>
                    </w:rPr>
                    <w:br/>
                  </w:r>
                  <w:r w:rsidRPr="00183B43">
                    <w:rPr>
                      <w:rFonts w:ascii="Verdana" w:eastAsia="Times New Roman" w:hAnsi="Verdana" w:cs="Times New Roman"/>
                      <w:b/>
                      <w:bCs/>
                      <w:sz w:val="20"/>
                      <w:szCs w:val="20"/>
                    </w:rPr>
                    <w:t>818-824-8102</w:t>
                  </w:r>
                  <w:r w:rsidRPr="00183B43">
                    <w:rPr>
                      <w:rFonts w:ascii="Verdana" w:eastAsia="Times New Roman" w:hAnsi="Verdana" w:cs="Times New Roman"/>
                      <w:sz w:val="20"/>
                      <w:szCs w:val="20"/>
                    </w:rPr>
                    <w:t>; </w:t>
                  </w:r>
                  <w:hyperlink r:id="rId19" w:history="1">
                    <w:r w:rsidRPr="00183B43">
                      <w:rPr>
                        <w:rFonts w:ascii="Verdana" w:eastAsia="Times New Roman" w:hAnsi="Verdana" w:cs="Times New Roman"/>
                        <w:b/>
                        <w:bCs/>
                        <w:color w:val="0000FF"/>
                        <w:sz w:val="20"/>
                        <w:szCs w:val="20"/>
                        <w:u w:val="single"/>
                      </w:rPr>
                      <w:t>mail@amiadini.com</w:t>
                    </w:r>
                  </w:hyperlink>
                  <w:r w:rsidRPr="00183B43">
                    <w:rPr>
                      <w:rFonts w:ascii="Verdana" w:eastAsia="Times New Roman" w:hAnsi="Verdana" w:cs="Times New Roman"/>
                      <w:sz w:val="20"/>
                      <w:szCs w:val="20"/>
                    </w:rPr>
                    <w:br/>
                  </w:r>
                  <w:hyperlink r:id="rId20" w:tgtFrame="_blank" w:history="1">
                    <w:r w:rsidRPr="00183B43">
                      <w:rPr>
                        <w:rFonts w:ascii="Verdana" w:eastAsia="Times New Roman" w:hAnsi="Verdana" w:cs="Times New Roman"/>
                        <w:color w:val="0000FF"/>
                        <w:sz w:val="20"/>
                        <w:szCs w:val="20"/>
                        <w:u w:val="single"/>
                      </w:rPr>
                      <w:t>www.amiadini.com</w:t>
                    </w:r>
                  </w:hyperlink>
                </w:p>
                <w:p w14:paraId="54959A1C" w14:textId="77777777" w:rsidR="00183B43" w:rsidRPr="00183B43" w:rsidRDefault="00183B43" w:rsidP="00183B43">
                  <w:pPr>
                    <w:spacing w:after="0" w:line="240" w:lineRule="auto"/>
                    <w:rPr>
                      <w:rFonts w:ascii="Times New Roman" w:eastAsia="Times New Roman" w:hAnsi="Times New Roman" w:cs="Times New Roman"/>
                      <w:sz w:val="24"/>
                      <w:szCs w:val="24"/>
                    </w:rPr>
                  </w:pPr>
                  <w:r w:rsidRPr="00183B43">
                    <w:rPr>
                      <w:rFonts w:ascii="Verdana" w:eastAsia="Times New Roman" w:hAnsi="Verdana" w:cs="Times New Roman"/>
                      <w:sz w:val="15"/>
                      <w:szCs w:val="15"/>
                    </w:rPr>
                    <w:t xml:space="preserve">Ami </w:t>
                  </w:r>
                  <w:proofErr w:type="spellStart"/>
                  <w:r w:rsidRPr="00183B43">
                    <w:rPr>
                      <w:rFonts w:ascii="Verdana" w:eastAsia="Times New Roman" w:hAnsi="Verdana" w:cs="Times New Roman"/>
                      <w:sz w:val="15"/>
                      <w:szCs w:val="15"/>
                    </w:rPr>
                    <w:t>Adini</w:t>
                  </w:r>
                  <w:proofErr w:type="spellEnd"/>
                  <w:r w:rsidRPr="00183B43">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183B43">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392616A9" w14:textId="77777777" w:rsidR="00183B43" w:rsidRPr="00183B43" w:rsidRDefault="00183B43" w:rsidP="00183B43">
            <w:pPr>
              <w:spacing w:after="0" w:line="240" w:lineRule="auto"/>
              <w:jc w:val="center"/>
              <w:rPr>
                <w:rFonts w:ascii="Verdana" w:eastAsia="Times New Roman" w:hAnsi="Verdana" w:cs="Times New Roman"/>
                <w:color w:val="000000"/>
                <w:sz w:val="20"/>
                <w:szCs w:val="20"/>
              </w:rPr>
            </w:pPr>
          </w:p>
        </w:tc>
      </w:tr>
    </w:tbl>
    <w:p w14:paraId="6621826D"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43"/>
    <w:rsid w:val="00183B43"/>
    <w:rsid w:val="0055002E"/>
    <w:rsid w:val="007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1355"/>
  <w15:chartTrackingRefBased/>
  <w15:docId w15:val="{7E862C28-5EA0-4C34-B164-7CDC7876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3B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3B43"/>
    <w:rPr>
      <w:b/>
      <w:bCs/>
    </w:rPr>
  </w:style>
  <w:style w:type="character" w:styleId="Emphasis">
    <w:name w:val="Emphasis"/>
    <w:basedOn w:val="DefaultParagraphFont"/>
    <w:uiPriority w:val="20"/>
    <w:qFormat/>
    <w:rsid w:val="00183B43"/>
    <w:rPr>
      <w:i/>
      <w:iCs/>
    </w:rPr>
  </w:style>
  <w:style w:type="character" w:styleId="Hyperlink">
    <w:name w:val="Hyperlink"/>
    <w:basedOn w:val="DefaultParagraphFont"/>
    <w:uiPriority w:val="99"/>
    <w:semiHidden/>
    <w:unhideWhenUsed/>
    <w:rsid w:val="00183B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24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gif"/><Relationship Id="rId18" Type="http://schemas.openxmlformats.org/officeDocument/2006/relationships/hyperlink" Target="http://www.amiadini.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gif"/><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hyperlink" Target="http://amiadini.com/"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gif"/><Relationship Id="rId10" Type="http://schemas.openxmlformats.org/officeDocument/2006/relationships/image" Target="media/image7.jpeg"/><Relationship Id="rId19" Type="http://schemas.openxmlformats.org/officeDocument/2006/relationships/hyperlink" Target="mailto:mail@amiadini.com"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2018-10-05T05:42:00Z</dcterms:created>
  <dcterms:modified xsi:type="dcterms:W3CDTF">2018-10-05T05:57:00Z</dcterms:modified>
</cp:coreProperties>
</file>